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4B44" w:rsidRDefault="00787E1A" w:rsidP="008F097D">
      <w:pPr>
        <w:spacing w:after="200" w:line="276" w:lineRule="auto"/>
        <w:jc w:val="center"/>
        <w:rPr>
          <w:rFonts w:eastAsia="Calibri"/>
          <w:b/>
          <w:lang w:eastAsia="en-US"/>
        </w:rPr>
      </w:pPr>
      <w:r w:rsidRPr="00787E1A">
        <w:rPr>
          <w:rFonts w:ascii="Calibri" w:eastAsia="Calibri" w:hAnsi="Calibri"/>
          <w:noProof/>
          <w:sz w:val="22"/>
          <w:szCs w:val="22"/>
        </w:rPr>
        <mc:AlternateContent>
          <mc:Choice Requires="wps">
            <w:drawing>
              <wp:anchor distT="0" distB="0" distL="114300" distR="114300" simplePos="0" relativeHeight="251659264" behindDoc="0" locked="0" layoutInCell="1" allowOverlap="1" wp14:anchorId="1D8D5DE9" wp14:editId="53587C06">
                <wp:simplePos x="0" y="0"/>
                <wp:positionH relativeFrom="column">
                  <wp:posOffset>-466949</wp:posOffset>
                </wp:positionH>
                <wp:positionV relativeFrom="paragraph">
                  <wp:posOffset>-74632</wp:posOffset>
                </wp:positionV>
                <wp:extent cx="6626710" cy="1183341"/>
                <wp:effectExtent l="57150" t="38100" r="79375" b="93345"/>
                <wp:wrapNone/>
                <wp:docPr id="2" name="Suapvalintas stačiakampis 2"/>
                <wp:cNvGraphicFramePr/>
                <a:graphic xmlns:a="http://schemas.openxmlformats.org/drawingml/2006/main">
                  <a:graphicData uri="http://schemas.microsoft.com/office/word/2010/wordprocessingShape">
                    <wps:wsp>
                      <wps:cNvSpPr/>
                      <wps:spPr>
                        <a:xfrm>
                          <a:off x="0" y="0"/>
                          <a:ext cx="6626710" cy="1183341"/>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787E1A" w:rsidRDefault="00787E1A" w:rsidP="00787E1A">
                            <w:pPr>
                              <w:jc w:val="center"/>
                              <w:rPr>
                                <w:b/>
                              </w:rPr>
                            </w:pPr>
                            <w:r w:rsidRPr="00787E1A">
                              <w:rPr>
                                <w:b/>
                              </w:rPr>
                              <w:t xml:space="preserve">LITERATŪRINIO RAŠINIO </w:t>
                            </w:r>
                            <w:r w:rsidRPr="00787E1A">
                              <w:rPr>
                                <w:b/>
                                <w:i/>
                              </w:rPr>
                              <w:t>KODĖL SVYRUOJA HAMLETAS?</w:t>
                            </w:r>
                            <w:r w:rsidRPr="00787E1A">
                              <w:rPr>
                                <w:b/>
                              </w:rPr>
                              <w:t xml:space="preserve"> APTARIMAS</w:t>
                            </w:r>
                          </w:p>
                          <w:p w:rsidR="00D2534C" w:rsidRDefault="00D2534C" w:rsidP="00787E1A">
                            <w:pPr>
                              <w:jc w:val="center"/>
                            </w:pPr>
                          </w:p>
                          <w:p w:rsidR="0062752F" w:rsidRPr="003F2495" w:rsidRDefault="0062752F" w:rsidP="00787E1A">
                            <w:pPr>
                              <w:jc w:val="center"/>
                            </w:pPr>
                            <w:r w:rsidRPr="003F2495">
                              <w:t>(</w:t>
                            </w:r>
                            <w:r w:rsidR="003F2495" w:rsidRPr="003F2495">
                              <w:t xml:space="preserve">Dirbama </w:t>
                            </w:r>
                            <w:r w:rsidRPr="003F2495">
                              <w:t>2 dubliuot</w:t>
                            </w:r>
                            <w:r w:rsidR="003F2495" w:rsidRPr="003F2495">
                              <w:t>a</w:t>
                            </w:r>
                            <w:r w:rsidRPr="003F2495">
                              <w:t>s pamok</w:t>
                            </w:r>
                            <w:r w:rsidR="003F2495" w:rsidRPr="003F2495">
                              <w:t>a</w:t>
                            </w:r>
                            <w:r w:rsidRPr="003F2495">
                              <w:t>s)</w:t>
                            </w:r>
                          </w:p>
                          <w:p w:rsidR="00787E1A" w:rsidRDefault="00787E1A" w:rsidP="00787E1A">
                            <w:pPr>
                              <w:jc w:val="right"/>
                            </w:pPr>
                            <w:r>
                              <w:rPr>
                                <w:noProof/>
                              </w:rPr>
                              <w:drawing>
                                <wp:inline distT="0" distB="0" distL="0" distR="0" wp14:anchorId="0248F2BD" wp14:editId="4394FA54">
                                  <wp:extent cx="957427" cy="376518"/>
                                  <wp:effectExtent l="0" t="0" r="0" b="508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7427" cy="37651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8D5DE9" id="Suapvalintas stačiakampis 2" o:spid="_x0000_s1026" style="position:absolute;left:0;text-align:left;margin-left:-36.75pt;margin-top:-5.9pt;width:521.8pt;height:9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" fillcolor="#ffbe86" strokecolor="#f69240">
                <v:fill color2="#ffebdb" rotate="t" angle="180" colors="0 #ffbe86;22938f #ffd0aa;1 #ffebdb" focus="100%" type="gradient"/>
                <v:shadow on="t" color="black" opacity="24903f" origin=",.5" offset="0,.55556mm"/>
                <v:textbox>
                  <w:txbxContent>
                    <w:p w:rsidR="00787E1A" w:rsidRDefault="00787E1A" w:rsidP="00787E1A">
                      <w:pPr>
                        <w:jc w:val="center"/>
                        <w:rPr>
                          <w:b/>
                        </w:rPr>
                      </w:pPr>
                      <w:r w:rsidRPr="00787E1A">
                        <w:rPr>
                          <w:b/>
                        </w:rPr>
                        <w:t xml:space="preserve">LITERATŪRINIO RAŠINIO </w:t>
                      </w:r>
                      <w:r w:rsidRPr="00787E1A">
                        <w:rPr>
                          <w:b/>
                          <w:i/>
                        </w:rPr>
                        <w:t>KODĖL SVYRUOJA HAMLETAS?</w:t>
                      </w:r>
                      <w:r w:rsidRPr="00787E1A">
                        <w:rPr>
                          <w:b/>
                        </w:rPr>
                        <w:t xml:space="preserve"> APTARIMAS</w:t>
                      </w:r>
                    </w:p>
                    <w:p w:rsidR="00D2534C" w:rsidRDefault="00D2534C" w:rsidP="00787E1A">
                      <w:pPr>
                        <w:jc w:val="center"/>
                      </w:pPr>
                    </w:p>
                    <w:p w:rsidR="0062752F" w:rsidRPr="003F2495" w:rsidRDefault="0062752F" w:rsidP="00787E1A">
                      <w:pPr>
                        <w:jc w:val="center"/>
                      </w:pPr>
                      <w:r w:rsidRPr="003F2495">
                        <w:t>(</w:t>
                      </w:r>
                      <w:r w:rsidR="003F2495" w:rsidRPr="003F2495">
                        <w:t xml:space="preserve">Dirbama </w:t>
                      </w:r>
                      <w:r w:rsidRPr="003F2495">
                        <w:t>2 dubliuot</w:t>
                      </w:r>
                      <w:r w:rsidR="003F2495" w:rsidRPr="003F2495">
                        <w:t>a</w:t>
                      </w:r>
                      <w:r w:rsidRPr="003F2495">
                        <w:t>s pamok</w:t>
                      </w:r>
                      <w:r w:rsidR="003F2495" w:rsidRPr="003F2495">
                        <w:t>a</w:t>
                      </w:r>
                      <w:r w:rsidRPr="003F2495">
                        <w:t>s)</w:t>
                      </w:r>
                    </w:p>
                    <w:p w:rsidR="00787E1A" w:rsidRDefault="00787E1A" w:rsidP="00787E1A">
                      <w:pPr>
                        <w:jc w:val="right"/>
                      </w:pPr>
                      <w:r>
                        <w:rPr>
                          <w:noProof/>
                        </w:rPr>
                        <w:drawing>
                          <wp:inline distT="0" distB="0" distL="0" distR="0" wp14:anchorId="0248F2BD" wp14:editId="4394FA54">
                            <wp:extent cx="957427" cy="376518"/>
                            <wp:effectExtent l="0" t="0" r="0" b="508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7427" cy="376518"/>
                                    </a:xfrm>
                                    <a:prstGeom prst="rect">
                                      <a:avLst/>
                                    </a:prstGeom>
                                    <a:noFill/>
                                    <a:ln>
                                      <a:noFill/>
                                    </a:ln>
                                  </pic:spPr>
                                </pic:pic>
                              </a:graphicData>
                            </a:graphic>
                          </wp:inline>
                        </w:drawing>
                      </w:r>
                    </w:p>
                  </w:txbxContent>
                </v:textbox>
              </v:roundrect>
            </w:pict>
          </mc:Fallback>
        </mc:AlternateContent>
      </w:r>
    </w:p>
    <w:p w:rsidR="00254B44" w:rsidRDefault="00254B44" w:rsidP="008F097D">
      <w:pPr>
        <w:spacing w:after="200" w:line="276" w:lineRule="auto"/>
        <w:jc w:val="center"/>
        <w:rPr>
          <w:rFonts w:eastAsia="Calibri"/>
          <w:b/>
          <w:lang w:eastAsia="en-US"/>
        </w:rPr>
      </w:pPr>
    </w:p>
    <w:p w:rsidR="00254B44" w:rsidRDefault="00254B44" w:rsidP="00E042C0">
      <w:pPr>
        <w:spacing w:after="200" w:line="276" w:lineRule="auto"/>
        <w:rPr>
          <w:rFonts w:eastAsia="Calibri"/>
          <w:b/>
          <w:lang w:eastAsia="en-US"/>
        </w:rPr>
      </w:pPr>
    </w:p>
    <w:p w:rsidR="00787E1A" w:rsidRPr="00E042C0" w:rsidRDefault="008266D7" w:rsidP="00C54F94">
      <w:pPr>
        <w:spacing w:after="200" w:line="276" w:lineRule="auto"/>
        <w:jc w:val="both"/>
        <w:rPr>
          <w:rFonts w:eastAsia="Calibri"/>
          <w:b/>
          <w:lang w:eastAsia="en-US"/>
        </w:rPr>
      </w:pPr>
      <w:r>
        <w:rPr>
          <w:rFonts w:eastAsia="Calibri"/>
          <w:b/>
          <w:noProof/>
        </w:rPr>
        <mc:AlternateContent>
          <mc:Choice Requires="wps">
            <w:drawing>
              <wp:anchor distT="0" distB="0" distL="114300" distR="114300" simplePos="0" relativeHeight="251678720" behindDoc="0" locked="0" layoutInCell="1" allowOverlap="1" wp14:anchorId="00D79A55" wp14:editId="6A485A2F">
                <wp:simplePos x="0" y="0"/>
                <wp:positionH relativeFrom="column">
                  <wp:posOffset>-156210</wp:posOffset>
                </wp:positionH>
                <wp:positionV relativeFrom="paragraph">
                  <wp:posOffset>313055</wp:posOffset>
                </wp:positionV>
                <wp:extent cx="6314440" cy="694690"/>
                <wp:effectExtent l="0" t="152400" r="10160" b="48260"/>
                <wp:wrapNone/>
                <wp:docPr id="5" name="Suapvalintas stačiakampis paaiškinima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14440" cy="694690"/>
                        </a:xfrm>
                        <a:prstGeom prst="wedgeRoundRectCallout">
                          <a:avLst>
                            <a:gd name="adj1" fmla="val 8014"/>
                            <a:gd name="adj2" fmla="val -70657"/>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rsidR="008266D7" w:rsidRPr="008266D7" w:rsidRDefault="008266D7" w:rsidP="008266D7">
                            <w:r w:rsidRPr="008266D7">
                              <w:t>Parengė</w:t>
                            </w:r>
                          </w:p>
                          <w:p w:rsidR="008266D7" w:rsidRPr="008266D7" w:rsidRDefault="008266D7" w:rsidP="008266D7">
                            <w:r w:rsidRPr="008266D7">
                              <w:t>Danutė Visockie</w:t>
                            </w:r>
                            <w:r>
                              <w:t>nė, Vilniaus A. Mickevičiaus gim</w:t>
                            </w:r>
                            <w:r w:rsidRPr="008266D7">
                              <w:t>nazijos lietuvių kalbos mokytoja ekspertė</w:t>
                            </w:r>
                          </w:p>
                          <w:p w:rsidR="008266D7" w:rsidRPr="008266D7" w:rsidRDefault="008266D7" w:rsidP="008266D7">
                            <w:r w:rsidRPr="008266D7">
                              <w:t xml:space="preserve">Daiva Binkienė, Ugdymo plėtotės centro </w:t>
                            </w:r>
                            <w:r>
                              <w:t>m</w:t>
                            </w:r>
                            <w:r w:rsidR="00BA01BC">
                              <w:t>etodininkė</w:t>
                            </w:r>
                          </w:p>
                          <w:p w:rsidR="008266D7" w:rsidRPr="00EB2E76" w:rsidRDefault="008266D7" w:rsidP="00F749B9">
                            <w:pPr>
                              <w:rPr>
                                <w:b/>
                                <w:bCs/>
                              </w:rPr>
                            </w:pPr>
                          </w:p>
                          <w:p w:rsidR="008266D7" w:rsidRDefault="008266D7" w:rsidP="00BB6E9E">
                            <w:pPr>
                              <w:jc w:val="center"/>
                              <w:rPr>
                                <w:rFonts w:ascii="Calibri" w:hAnsi="Calibri"/>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0D79A55"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5" o:spid="_x0000_s1027" type="#_x0000_t62" style="position:absolute;left:0;text-align:left;margin-left:-12.3pt;margin-top:24.65pt;width:497.2pt;height:54.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" adj="12531,-4462" fillcolor="#dafda7" strokecolor="#98b954">
                <v:fill color2="#f5ffe6" rotate="t" angle="180" colors="0 #dafda7;22938f #e4fdc2;1 #f5ffe6" focus="100%" type="gradient"/>
                <v:shadow on="t" color="black" opacity="24903f" origin=",.5" offset="0,.55556mm"/>
                <v:textbox>
                  <w:txbxContent>
                    <w:p w:rsidR="008266D7" w:rsidRPr="008266D7" w:rsidRDefault="008266D7" w:rsidP="008266D7">
                      <w:r w:rsidRPr="008266D7">
                        <w:t>Parengė</w:t>
                      </w:r>
                    </w:p>
                    <w:p w:rsidR="008266D7" w:rsidRPr="008266D7" w:rsidRDefault="008266D7" w:rsidP="008266D7">
                      <w:r w:rsidRPr="008266D7">
                        <w:t>Danutė Visockie</w:t>
                      </w:r>
                      <w:r>
                        <w:t>nė, Vilniaus A. Mickevičiaus gim</w:t>
                      </w:r>
                      <w:r w:rsidRPr="008266D7">
                        <w:t>nazijos lietuvių kalbos mokytoja ekspertė</w:t>
                      </w:r>
                    </w:p>
                    <w:p w:rsidR="008266D7" w:rsidRPr="008266D7" w:rsidRDefault="008266D7" w:rsidP="008266D7">
                      <w:r w:rsidRPr="008266D7">
                        <w:t xml:space="preserve">Daiva Binkienė, Ugdymo plėtotės centro </w:t>
                      </w:r>
                      <w:r>
                        <w:t>m</w:t>
                      </w:r>
                      <w:r w:rsidR="00BA01BC">
                        <w:t>etodininkė</w:t>
                      </w:r>
                    </w:p>
                    <w:p w:rsidR="008266D7" w:rsidRPr="00EB2E76" w:rsidRDefault="008266D7" w:rsidP="00F749B9">
                      <w:pPr>
                        <w:rPr>
                          <w:b/>
                          <w:bCs/>
                        </w:rPr>
                      </w:pPr>
                    </w:p>
                    <w:p w:rsidR="008266D7" w:rsidRDefault="008266D7" w:rsidP="00BB6E9E">
                      <w:pPr>
                        <w:jc w:val="center"/>
                        <w:rPr>
                          <w:rFonts w:ascii="Calibri" w:hAnsi="Calibri"/>
                        </w:rPr>
                      </w:pPr>
                    </w:p>
                  </w:txbxContent>
                </v:textbox>
              </v:shape>
            </w:pict>
          </mc:Fallback>
        </mc:AlternateContent>
      </w:r>
    </w:p>
    <w:p w:rsidR="00AD2064" w:rsidRDefault="00AD2064" w:rsidP="00E042C0">
      <w:pPr>
        <w:spacing w:after="200" w:line="276" w:lineRule="auto"/>
        <w:ind w:hanging="709"/>
        <w:jc w:val="both"/>
        <w:rPr>
          <w:rFonts w:eastAsia="Calibri"/>
          <w:b/>
          <w:lang w:eastAsia="en-US"/>
        </w:rPr>
      </w:pPr>
    </w:p>
    <w:p w:rsidR="00AD2064" w:rsidRDefault="00AD2064" w:rsidP="00E042C0">
      <w:pPr>
        <w:spacing w:after="200" w:line="276" w:lineRule="auto"/>
        <w:ind w:hanging="709"/>
        <w:jc w:val="both"/>
        <w:rPr>
          <w:rFonts w:eastAsia="Calibri"/>
          <w:b/>
          <w:lang w:eastAsia="en-US"/>
        </w:rPr>
      </w:pPr>
    </w:p>
    <w:p w:rsidR="00AD2064" w:rsidRDefault="00AD2064" w:rsidP="00AD2064">
      <w:pPr>
        <w:spacing w:after="200" w:line="276" w:lineRule="auto"/>
        <w:ind w:hanging="709"/>
        <w:jc w:val="both"/>
        <w:rPr>
          <w:rFonts w:eastAsia="Calibri"/>
          <w:b/>
          <w:lang w:eastAsia="en-US"/>
        </w:rPr>
      </w:pPr>
    </w:p>
    <w:p w:rsidR="00AD2064" w:rsidRPr="00AD2064" w:rsidRDefault="00C54F94" w:rsidP="00AD2064">
      <w:pPr>
        <w:spacing w:after="200" w:line="276" w:lineRule="auto"/>
        <w:ind w:hanging="709"/>
        <w:jc w:val="both"/>
        <w:rPr>
          <w:rFonts w:eastAsia="Calibri"/>
          <w:b/>
          <w:lang w:eastAsia="en-US"/>
        </w:rPr>
      </w:pPr>
      <w:r w:rsidRPr="00C54F94">
        <w:rPr>
          <w:rFonts w:eastAsia="Calibri"/>
          <w:b/>
          <w:lang w:eastAsia="en-US"/>
        </w:rPr>
        <w:t>Kontekstas</w:t>
      </w:r>
    </w:p>
    <w:p w:rsidR="00254B44" w:rsidRPr="00E042C0" w:rsidRDefault="00787E1A" w:rsidP="00E042C0">
      <w:pPr>
        <w:spacing w:after="200" w:line="276" w:lineRule="auto"/>
        <w:ind w:hanging="709"/>
        <w:jc w:val="both"/>
        <w:rPr>
          <w:rFonts w:eastAsia="Calibri"/>
          <w:lang w:eastAsia="en-US"/>
        </w:rPr>
      </w:pPr>
      <w:r w:rsidRPr="00787E1A">
        <w:rPr>
          <w:rFonts w:eastAsia="Calibri"/>
          <w:lang w:eastAsia="en-US"/>
        </w:rPr>
        <w:t xml:space="preserve">Iš </w:t>
      </w:r>
      <w:r w:rsidR="00F17D63">
        <w:rPr>
          <w:rFonts w:eastAsia="Calibri"/>
          <w:i/>
          <w:lang w:eastAsia="en-US"/>
        </w:rPr>
        <w:t xml:space="preserve">Lietuvių kalbos ir literatūros </w:t>
      </w:r>
      <w:r w:rsidRPr="00787E1A">
        <w:rPr>
          <w:rFonts w:eastAsia="Calibri"/>
          <w:i/>
          <w:lang w:eastAsia="en-US"/>
        </w:rPr>
        <w:t>ilgalaikio ugdymo plano 11 (III gimnazijos) klasei</w:t>
      </w:r>
      <w:r w:rsidRPr="00787E1A">
        <w:rPr>
          <w:rFonts w:eastAsia="Calibri"/>
          <w:lang w:eastAsia="en-US"/>
        </w:rPr>
        <w:t>:</w:t>
      </w:r>
    </w:p>
    <w:tbl>
      <w:tblPr>
        <w:tblpPr w:leftFromText="180" w:rightFromText="180" w:vertAnchor="page" w:horzAnchor="margin" w:tblpXSpec="center" w:tblpY="6126"/>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2552"/>
        <w:gridCol w:w="2551"/>
      </w:tblGrid>
      <w:tr w:rsidR="00E042C0" w:rsidRPr="00254B44" w:rsidTr="00AD2064">
        <w:trPr>
          <w:trHeight w:val="423"/>
        </w:trPr>
        <w:tc>
          <w:tcPr>
            <w:tcW w:w="10314" w:type="dxa"/>
            <w:gridSpan w:val="3"/>
            <w:tcBorders>
              <w:top w:val="single" w:sz="4" w:space="0" w:color="auto"/>
              <w:left w:val="single" w:sz="4" w:space="0" w:color="auto"/>
              <w:bottom w:val="single" w:sz="4" w:space="0" w:color="auto"/>
              <w:right w:val="single" w:sz="4" w:space="0" w:color="auto"/>
            </w:tcBorders>
            <w:shd w:val="clear" w:color="auto" w:fill="F2F2F2"/>
            <w:vAlign w:val="center"/>
            <w:hideMark/>
          </w:tcPr>
          <w:p w:rsidR="00E042C0" w:rsidRPr="00254B44" w:rsidRDefault="00E042C0" w:rsidP="00AD2064">
            <w:pPr>
              <w:spacing w:line="360" w:lineRule="auto"/>
              <w:jc w:val="center"/>
              <w:rPr>
                <w:rFonts w:eastAsia="Calibri"/>
                <w:b/>
                <w:sz w:val="22"/>
                <w:szCs w:val="22"/>
                <w:lang w:eastAsia="en-US"/>
              </w:rPr>
            </w:pPr>
            <w:r w:rsidRPr="00254B44">
              <w:rPr>
                <w:rFonts w:eastAsia="Calibri"/>
                <w:b/>
                <w:lang w:eastAsia="en-US"/>
              </w:rPr>
              <w:t>Etapas</w:t>
            </w:r>
            <w:r w:rsidRPr="00254B44">
              <w:rPr>
                <w:rFonts w:eastAsia="Calibri"/>
                <w:b/>
                <w:sz w:val="22"/>
                <w:szCs w:val="22"/>
                <w:lang w:eastAsia="en-US"/>
              </w:rPr>
              <w:tab/>
            </w:r>
            <w:r w:rsidRPr="00254B44">
              <w:rPr>
                <w:rFonts w:eastAsia="Calibri"/>
                <w:b/>
                <w:i/>
                <w:lang w:eastAsia="en-US"/>
              </w:rPr>
              <w:t>Renesansas ir Reformacija Europoje ir LDK</w:t>
            </w:r>
          </w:p>
        </w:tc>
      </w:tr>
      <w:tr w:rsidR="00E042C0" w:rsidRPr="00254B44" w:rsidTr="00AD2064">
        <w:trPr>
          <w:trHeight w:val="382"/>
        </w:trPr>
        <w:tc>
          <w:tcPr>
            <w:tcW w:w="521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E042C0" w:rsidRPr="00254B44" w:rsidRDefault="00E042C0" w:rsidP="00AD2064">
            <w:pPr>
              <w:spacing w:line="360" w:lineRule="auto"/>
              <w:jc w:val="center"/>
              <w:rPr>
                <w:rFonts w:eastAsia="Calibri"/>
                <w:b/>
                <w:lang w:eastAsia="en-US"/>
              </w:rPr>
            </w:pPr>
            <w:r w:rsidRPr="00254B44">
              <w:rPr>
                <w:rFonts w:eastAsia="Calibri"/>
                <w:b/>
                <w:lang w:eastAsia="en-US"/>
              </w:rPr>
              <w:t xml:space="preserve">Ciklo </w:t>
            </w:r>
            <w:r w:rsidRPr="00254B44">
              <w:rPr>
                <w:rFonts w:eastAsia="Calibri"/>
                <w:b/>
                <w:i/>
                <w:lang w:eastAsia="en-US"/>
              </w:rPr>
              <w:t xml:space="preserve">Renesansas Europoje </w:t>
            </w:r>
            <w:r w:rsidRPr="00254B44">
              <w:rPr>
                <w:rFonts w:eastAsia="Calibri"/>
                <w:b/>
                <w:lang w:eastAsia="en-US"/>
              </w:rPr>
              <w:t>uždaviniai (~8 val.)</w:t>
            </w:r>
          </w:p>
        </w:tc>
        <w:tc>
          <w:tcPr>
            <w:tcW w:w="2552"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E042C0" w:rsidRPr="00254B44" w:rsidRDefault="00E042C0" w:rsidP="00AD2064">
            <w:pPr>
              <w:spacing w:line="360" w:lineRule="auto"/>
              <w:jc w:val="center"/>
              <w:rPr>
                <w:rFonts w:eastAsia="Calibri"/>
                <w:b/>
                <w:lang w:eastAsia="en-US"/>
              </w:rPr>
            </w:pPr>
            <w:r w:rsidRPr="00254B44">
              <w:rPr>
                <w:rFonts w:eastAsia="Calibri"/>
                <w:b/>
                <w:lang w:eastAsia="en-US"/>
              </w:rPr>
              <w:t>Vertinimas</w:t>
            </w:r>
          </w:p>
        </w:tc>
        <w:tc>
          <w:tcPr>
            <w:tcW w:w="255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E042C0" w:rsidRPr="00254B44" w:rsidRDefault="00E042C0" w:rsidP="00AD2064">
            <w:pPr>
              <w:spacing w:line="360" w:lineRule="auto"/>
              <w:jc w:val="center"/>
              <w:rPr>
                <w:rFonts w:eastAsia="Calibri"/>
                <w:b/>
                <w:lang w:eastAsia="en-US"/>
              </w:rPr>
            </w:pPr>
            <w:r w:rsidRPr="00254B44">
              <w:rPr>
                <w:rFonts w:eastAsia="Calibri"/>
                <w:b/>
                <w:lang w:eastAsia="en-US"/>
              </w:rPr>
              <w:t>Pastabos</w:t>
            </w:r>
          </w:p>
        </w:tc>
      </w:tr>
      <w:tr w:rsidR="00E042C0" w:rsidRPr="00254B44" w:rsidTr="00AD2064">
        <w:trPr>
          <w:trHeight w:val="2099"/>
        </w:trPr>
        <w:tc>
          <w:tcPr>
            <w:tcW w:w="5211" w:type="dxa"/>
            <w:tcBorders>
              <w:top w:val="single" w:sz="4" w:space="0" w:color="auto"/>
              <w:left w:val="single" w:sz="4" w:space="0" w:color="auto"/>
              <w:bottom w:val="single" w:sz="4" w:space="0" w:color="auto"/>
              <w:right w:val="single" w:sz="4" w:space="0" w:color="auto"/>
            </w:tcBorders>
            <w:hideMark/>
          </w:tcPr>
          <w:p w:rsidR="00E042C0" w:rsidRPr="00254B44" w:rsidRDefault="00E042C0" w:rsidP="00DE5F97">
            <w:pPr>
              <w:spacing w:line="360" w:lineRule="auto"/>
              <w:jc w:val="both"/>
              <w:rPr>
                <w:rFonts w:eastAsia="Calibri"/>
                <w:lang w:eastAsia="en-US"/>
              </w:rPr>
            </w:pPr>
            <w:r w:rsidRPr="00254B44">
              <w:rPr>
                <w:rFonts w:eastAsia="Calibri"/>
                <w:lang w:eastAsia="en-US"/>
              </w:rPr>
              <w:t>Supras literatūros istorijos periodizacijos principus, apžvelgs antikos, viduramžių epochos bruožus.</w:t>
            </w:r>
          </w:p>
          <w:p w:rsidR="00E042C0" w:rsidRPr="00254B44" w:rsidRDefault="00E042C0" w:rsidP="00DE5F97">
            <w:pPr>
              <w:spacing w:line="360" w:lineRule="auto"/>
              <w:jc w:val="both"/>
              <w:rPr>
                <w:rFonts w:eastAsia="Calibri"/>
                <w:lang w:eastAsia="en-US"/>
              </w:rPr>
            </w:pPr>
            <w:r w:rsidRPr="00254B44">
              <w:rPr>
                <w:rFonts w:eastAsia="Calibri"/>
                <w:lang w:eastAsia="en-US"/>
              </w:rPr>
              <w:t>Aptars rašomosios kalbos raidos bruožus, supras krikšto įtaką raštijos plėtotei.</w:t>
            </w:r>
          </w:p>
          <w:p w:rsidR="00E042C0" w:rsidRPr="00254B44" w:rsidRDefault="00E042C0" w:rsidP="00DE5F97">
            <w:pPr>
              <w:spacing w:line="360" w:lineRule="auto"/>
              <w:jc w:val="both"/>
              <w:rPr>
                <w:rFonts w:eastAsia="Calibri"/>
                <w:lang w:eastAsia="en-US"/>
              </w:rPr>
            </w:pPr>
            <w:r w:rsidRPr="00254B44">
              <w:rPr>
                <w:rFonts w:eastAsia="Calibri"/>
                <w:lang w:eastAsia="en-US"/>
              </w:rPr>
              <w:t>Apibūdins Renesanso epochą Europoje, išvardys ir paaiškins jos bruožus, aptars V. Šekspyro sonetus.</w:t>
            </w:r>
          </w:p>
          <w:p w:rsidR="00E042C0" w:rsidRPr="00254B44" w:rsidRDefault="00E042C0" w:rsidP="00DE5F97">
            <w:pPr>
              <w:spacing w:line="360" w:lineRule="auto"/>
              <w:jc w:val="both"/>
              <w:rPr>
                <w:rFonts w:eastAsia="Calibri"/>
                <w:lang w:eastAsia="en-US"/>
              </w:rPr>
            </w:pPr>
            <w:r w:rsidRPr="00254B44">
              <w:rPr>
                <w:rFonts w:eastAsia="Calibri"/>
                <w:lang w:eastAsia="en-US"/>
              </w:rPr>
              <w:t>Remdamiesi ir per gimtosios kalbos pamokas įgytomis žiniomis analizuos V. Šekspyro tragediją „Hamletas“, paaiškins Renesanso žmogaus vidinį konfliktą.</w:t>
            </w:r>
          </w:p>
          <w:p w:rsidR="00E042C0" w:rsidRPr="009921BC" w:rsidRDefault="00E042C0" w:rsidP="00DE5F97">
            <w:pPr>
              <w:spacing w:line="360" w:lineRule="auto"/>
              <w:jc w:val="both"/>
              <w:rPr>
                <w:rFonts w:eastAsia="Calibri"/>
                <w:b/>
                <w:lang w:eastAsia="en-US"/>
              </w:rPr>
            </w:pPr>
            <w:r w:rsidRPr="009921BC">
              <w:rPr>
                <w:rFonts w:eastAsia="Calibri"/>
                <w:b/>
                <w:lang w:eastAsia="en-US"/>
              </w:rPr>
              <w:t>Išsiaiškinę reikalavimus literatūriniam rašiniui, kartu sukūrę planą, rašys literatūrinį rašinį tema „Kodėl svyruoja Hamletas?“, jį redaguos turinio, argumentavimo, sandaros, raiškos požiūriu.</w:t>
            </w:r>
          </w:p>
        </w:tc>
        <w:tc>
          <w:tcPr>
            <w:tcW w:w="2552" w:type="dxa"/>
            <w:tcBorders>
              <w:top w:val="single" w:sz="4" w:space="0" w:color="auto"/>
              <w:left w:val="single" w:sz="4" w:space="0" w:color="auto"/>
              <w:bottom w:val="single" w:sz="4" w:space="0" w:color="auto"/>
              <w:right w:val="single" w:sz="4" w:space="0" w:color="auto"/>
            </w:tcBorders>
          </w:tcPr>
          <w:p w:rsidR="00E042C0" w:rsidRPr="00254B44" w:rsidRDefault="00E042C0" w:rsidP="00AD2064">
            <w:pPr>
              <w:spacing w:line="360" w:lineRule="auto"/>
              <w:rPr>
                <w:rFonts w:eastAsia="Calibri"/>
                <w:lang w:eastAsia="en-US"/>
              </w:rPr>
            </w:pPr>
            <w:r w:rsidRPr="00254B44">
              <w:rPr>
                <w:rFonts w:eastAsia="Calibri"/>
                <w:lang w:eastAsia="en-US"/>
              </w:rPr>
              <w:t>Pranešimas apie Renesansą Europoje</w:t>
            </w:r>
          </w:p>
          <w:p w:rsidR="00E042C0" w:rsidRPr="00254B44" w:rsidRDefault="00E042C0" w:rsidP="00AD2064">
            <w:pPr>
              <w:spacing w:line="360" w:lineRule="auto"/>
              <w:rPr>
                <w:rFonts w:eastAsia="Calibri"/>
                <w:lang w:eastAsia="en-US"/>
              </w:rPr>
            </w:pPr>
          </w:p>
          <w:p w:rsidR="00E042C0" w:rsidRPr="006D28D1" w:rsidRDefault="00E042C0" w:rsidP="00AD2064">
            <w:pPr>
              <w:spacing w:line="360" w:lineRule="auto"/>
              <w:rPr>
                <w:rFonts w:eastAsia="Calibri"/>
                <w:b/>
                <w:lang w:eastAsia="en-US"/>
              </w:rPr>
            </w:pPr>
            <w:r w:rsidRPr="009921BC">
              <w:rPr>
                <w:rFonts w:eastAsia="Calibri"/>
                <w:b/>
                <w:lang w:eastAsia="en-US"/>
              </w:rPr>
              <w:t>Literatūrinis rašinys „Kodėl svyruoja Hamletas?"</w:t>
            </w:r>
          </w:p>
        </w:tc>
        <w:tc>
          <w:tcPr>
            <w:tcW w:w="2551" w:type="dxa"/>
            <w:tcBorders>
              <w:top w:val="single" w:sz="4" w:space="0" w:color="auto"/>
              <w:left w:val="single" w:sz="4" w:space="0" w:color="auto"/>
              <w:bottom w:val="single" w:sz="4" w:space="0" w:color="auto"/>
              <w:right w:val="single" w:sz="4" w:space="0" w:color="auto"/>
            </w:tcBorders>
            <w:hideMark/>
          </w:tcPr>
          <w:p w:rsidR="00E042C0" w:rsidRPr="00254B44" w:rsidRDefault="00E042C0" w:rsidP="00AD2064">
            <w:pPr>
              <w:spacing w:line="360" w:lineRule="auto"/>
              <w:rPr>
                <w:rFonts w:eastAsia="Calibri"/>
                <w:lang w:eastAsia="en-US"/>
              </w:rPr>
            </w:pPr>
            <w:r w:rsidRPr="00254B44">
              <w:rPr>
                <w:rFonts w:eastAsia="Calibri"/>
                <w:lang w:eastAsia="en-US"/>
              </w:rPr>
              <w:t>Pradedama pildyti literatūros epochų apibendrinamoji lentelė.</w:t>
            </w:r>
          </w:p>
          <w:p w:rsidR="00E042C0" w:rsidRPr="00254B44" w:rsidRDefault="00601CE7" w:rsidP="00AD2064">
            <w:pPr>
              <w:spacing w:line="360" w:lineRule="auto"/>
              <w:rPr>
                <w:rFonts w:eastAsia="Calibri"/>
                <w:color w:val="0000FF"/>
                <w:lang w:eastAsia="en-US"/>
              </w:rPr>
            </w:pPr>
            <w:r>
              <w:rPr>
                <w:rFonts w:eastAsia="Calibri"/>
                <w:lang w:eastAsia="en-US"/>
              </w:rPr>
              <w:t xml:space="preserve">Pildoma lentelė </w:t>
            </w:r>
            <w:r w:rsidR="00E042C0" w:rsidRPr="00254B44">
              <w:rPr>
                <w:rFonts w:eastAsia="Calibri"/>
                <w:i/>
                <w:lang w:eastAsia="en-US"/>
              </w:rPr>
              <w:t>Tragedijos „Hamletas“ pagrindinio veikėjo, Danijos princo Hamleto, paveikslas</w:t>
            </w:r>
          </w:p>
        </w:tc>
      </w:tr>
    </w:tbl>
    <w:p w:rsidR="00AD2064" w:rsidRDefault="00AD2064" w:rsidP="00B24173">
      <w:pPr>
        <w:spacing w:after="200" w:line="360" w:lineRule="auto"/>
        <w:jc w:val="both"/>
        <w:rPr>
          <w:rFonts w:eastAsia="Calibri"/>
          <w:lang w:eastAsia="en-US"/>
        </w:rPr>
      </w:pPr>
    </w:p>
    <w:p w:rsidR="00075E0A" w:rsidRPr="0028182E" w:rsidRDefault="008F097D" w:rsidP="00E73FAC">
      <w:pPr>
        <w:spacing w:after="200" w:line="360" w:lineRule="auto"/>
        <w:ind w:left="-567" w:firstLine="567"/>
        <w:jc w:val="both"/>
        <w:rPr>
          <w:rFonts w:eastAsia="Calibri"/>
          <w:color w:val="FF0000"/>
          <w:lang w:eastAsia="en-US"/>
        </w:rPr>
      </w:pPr>
      <w:r>
        <w:rPr>
          <w:rFonts w:eastAsia="Calibri"/>
          <w:lang w:eastAsia="en-US"/>
        </w:rPr>
        <w:t>Mokiniai, remdamiesi per gimtosios kalbos pamokas įgytomis žiniomis apie V. Šekspyro tragediją „Hamletas“, dirbdami grupėmis analizavo lietuvišką tragedijos tekstą ir pildė nurodytas lentelės (</w:t>
      </w:r>
      <w:r>
        <w:rPr>
          <w:rFonts w:eastAsia="Calibri"/>
          <w:i/>
          <w:lang w:eastAsia="en-US"/>
        </w:rPr>
        <w:t>Ką Hamletas veikia; jaučia, galvoja, sako; ką apie jį galvoją kiti veikėjai; kaip Hamletas keičiasi?</w:t>
      </w:r>
      <w:r w:rsidR="000E7C34">
        <w:rPr>
          <w:rFonts w:eastAsia="Calibri"/>
          <w:lang w:eastAsia="en-US"/>
        </w:rPr>
        <w:t xml:space="preserve">) skiltis </w:t>
      </w:r>
      <w:r w:rsidR="000E7C34" w:rsidRPr="000E7C34">
        <w:rPr>
          <w:rFonts w:eastAsia="Calibri"/>
          <w:lang w:eastAsia="en-US"/>
        </w:rPr>
        <w:t>(žr. Priedas Nr. 1)</w:t>
      </w:r>
      <w:r w:rsidR="000E7C34">
        <w:rPr>
          <w:rFonts w:eastAsia="Calibri"/>
          <w:lang w:eastAsia="en-US"/>
        </w:rPr>
        <w:t>.</w:t>
      </w:r>
      <w:r>
        <w:rPr>
          <w:rFonts w:eastAsia="Calibri"/>
          <w:lang w:eastAsia="en-US"/>
        </w:rPr>
        <w:t xml:space="preserve"> Savo surinktą medžiagą pristatė klasės draugams, kurie, </w:t>
      </w:r>
      <w:r>
        <w:rPr>
          <w:rFonts w:eastAsia="Calibri"/>
          <w:lang w:eastAsia="en-US"/>
        </w:rPr>
        <w:lastRenderedPageBreak/>
        <w:t>padedami mokytojos, užpildė likusias lentelės skiltis. Remdamiesi visa sukaupta medžiaga, mokytojos padedami klasėje sudarė išplėstinį literatūrinio rašinio „</w:t>
      </w:r>
      <w:r>
        <w:rPr>
          <w:rFonts w:eastAsia="Calibri"/>
          <w:i/>
          <w:lang w:eastAsia="en-US"/>
        </w:rPr>
        <w:t>Kodėl svyruoja Hamletas</w:t>
      </w:r>
      <w:r>
        <w:rPr>
          <w:rFonts w:eastAsia="Calibri"/>
          <w:lang w:eastAsia="en-US"/>
        </w:rPr>
        <w:t>?“ planą</w:t>
      </w:r>
      <w:r w:rsidR="00D978E9">
        <w:rPr>
          <w:rFonts w:eastAsia="Calibri"/>
          <w:lang w:eastAsia="en-US"/>
        </w:rPr>
        <w:t xml:space="preserve"> </w:t>
      </w:r>
      <w:r w:rsidR="00D978E9" w:rsidRPr="00E73FAC">
        <w:rPr>
          <w:rFonts w:eastAsia="Calibri"/>
          <w:lang w:eastAsia="en-US"/>
        </w:rPr>
        <w:t xml:space="preserve">(žr. Priedas Nr. </w:t>
      </w:r>
      <w:r w:rsidR="000E7C34">
        <w:rPr>
          <w:rFonts w:eastAsia="Calibri"/>
          <w:lang w:eastAsia="en-US"/>
        </w:rPr>
        <w:t>2</w:t>
      </w:r>
      <w:r w:rsidR="00D978E9" w:rsidRPr="00E73FAC">
        <w:rPr>
          <w:rFonts w:eastAsia="Calibri"/>
          <w:lang w:eastAsia="en-US"/>
        </w:rPr>
        <w:t>)</w:t>
      </w:r>
      <w:r w:rsidR="00D978E9">
        <w:rPr>
          <w:rFonts w:eastAsia="Calibri"/>
          <w:lang w:eastAsia="en-US"/>
        </w:rPr>
        <w:t>,</w:t>
      </w:r>
      <w:r>
        <w:rPr>
          <w:rFonts w:eastAsia="Calibri"/>
          <w:lang w:eastAsia="en-US"/>
        </w:rPr>
        <w:t xml:space="preserve"> </w:t>
      </w:r>
      <w:r w:rsidR="00F10B07">
        <w:rPr>
          <w:rFonts w:eastAsia="Calibri"/>
          <w:lang w:eastAsia="en-US"/>
        </w:rPr>
        <w:t>pagal kurį namuose rašė rašinį.</w:t>
      </w:r>
    </w:p>
    <w:p w:rsidR="008F097D" w:rsidRDefault="008F097D" w:rsidP="00075E0A">
      <w:pPr>
        <w:spacing w:after="200" w:line="360" w:lineRule="auto"/>
        <w:ind w:left="-567" w:firstLine="425"/>
        <w:jc w:val="both"/>
        <w:rPr>
          <w:rFonts w:eastAsia="Calibri"/>
          <w:lang w:eastAsia="en-US"/>
        </w:rPr>
      </w:pPr>
      <w:r>
        <w:rPr>
          <w:rFonts w:eastAsia="Calibri"/>
          <w:b/>
          <w:lang w:eastAsia="en-US"/>
        </w:rPr>
        <w:t xml:space="preserve">Tikslas. </w:t>
      </w:r>
      <w:r>
        <w:rPr>
          <w:rFonts w:eastAsia="Calibri"/>
          <w:lang w:eastAsia="en-US"/>
        </w:rPr>
        <w:t>Suvokti literatūrinio rašinio giliąją struktūr</w:t>
      </w:r>
      <w:r w:rsidR="000349BB">
        <w:rPr>
          <w:rFonts w:eastAsia="Calibri"/>
          <w:lang w:eastAsia="en-US"/>
        </w:rPr>
        <w:t xml:space="preserve">ą, galimybes remtis kontekstu; </w:t>
      </w:r>
      <w:r>
        <w:rPr>
          <w:rFonts w:eastAsia="Calibri"/>
          <w:lang w:eastAsia="en-US"/>
        </w:rPr>
        <w:t>išsiaiškinti / aptarti literatūrinio rašinio teksto konstravimo strategijas.</w:t>
      </w:r>
    </w:p>
    <w:p w:rsidR="008F097D" w:rsidRDefault="008F097D" w:rsidP="00075E0A">
      <w:pPr>
        <w:spacing w:after="200" w:line="360" w:lineRule="auto"/>
        <w:ind w:left="-567" w:firstLine="425"/>
        <w:jc w:val="both"/>
        <w:rPr>
          <w:rFonts w:eastAsia="Calibri"/>
          <w:b/>
          <w:lang w:eastAsia="en-US"/>
        </w:rPr>
      </w:pPr>
      <w:r>
        <w:rPr>
          <w:rFonts w:eastAsia="Calibri"/>
          <w:b/>
          <w:lang w:eastAsia="en-US"/>
        </w:rPr>
        <w:t xml:space="preserve">Uždaviniai: </w:t>
      </w:r>
    </w:p>
    <w:p w:rsidR="008F097D" w:rsidRDefault="008F097D" w:rsidP="00075E0A">
      <w:pPr>
        <w:numPr>
          <w:ilvl w:val="0"/>
          <w:numId w:val="1"/>
        </w:numPr>
        <w:spacing w:after="200" w:line="360" w:lineRule="auto"/>
        <w:ind w:left="-567" w:firstLine="425"/>
        <w:jc w:val="both"/>
        <w:rPr>
          <w:rFonts w:eastAsia="Calibri"/>
          <w:lang w:eastAsia="en-US"/>
        </w:rPr>
      </w:pPr>
      <w:r>
        <w:rPr>
          <w:rFonts w:eastAsia="Calibri"/>
          <w:lang w:eastAsia="en-US"/>
        </w:rPr>
        <w:t>Dirbant grupėmis 2X2 išanalizuoti nurodytą teksto dalį (pastraipą) ir įvardyti kiekvieno sakinio, citatos, svarbių sakinio fragmentų paskirtį / vaidmenį pastraipoje (pasiruošti pristatyti parengtą analizę klasės draugams).</w:t>
      </w:r>
    </w:p>
    <w:p w:rsidR="008F097D" w:rsidRDefault="008F097D" w:rsidP="00075E0A">
      <w:pPr>
        <w:numPr>
          <w:ilvl w:val="0"/>
          <w:numId w:val="1"/>
        </w:numPr>
        <w:spacing w:after="200" w:line="360" w:lineRule="auto"/>
        <w:ind w:left="-567" w:firstLine="425"/>
        <w:jc w:val="both"/>
        <w:rPr>
          <w:rFonts w:eastAsia="Calibri"/>
          <w:lang w:eastAsia="en-US"/>
        </w:rPr>
      </w:pPr>
      <w:r>
        <w:rPr>
          <w:rFonts w:eastAsia="Calibri"/>
          <w:lang w:eastAsia="en-US"/>
        </w:rPr>
        <w:t>Remiantis atlikta analize paaiškinti klasės draugams, kaip galėtų būti rašoma literatūrinio rašinio įžanga, dėstymo pastraipos, apibendrinimas.</w:t>
      </w:r>
    </w:p>
    <w:p w:rsidR="000614BE" w:rsidRPr="00820686" w:rsidRDefault="008F097D" w:rsidP="000614BE">
      <w:pPr>
        <w:numPr>
          <w:ilvl w:val="0"/>
          <w:numId w:val="1"/>
        </w:numPr>
        <w:spacing w:after="200" w:line="360" w:lineRule="auto"/>
        <w:ind w:left="-567" w:firstLine="425"/>
        <w:jc w:val="both"/>
        <w:rPr>
          <w:rFonts w:eastAsia="Calibri"/>
          <w:lang w:eastAsia="en-US"/>
        </w:rPr>
      </w:pPr>
      <w:r>
        <w:rPr>
          <w:rFonts w:eastAsia="Calibri"/>
          <w:lang w:eastAsia="en-US"/>
        </w:rPr>
        <w:t xml:space="preserve">Klausantis grupių pristatymų, klasės draugų pastebėjimų, mokytojos paaiškinimų užpildyti lentelės skiltį </w:t>
      </w:r>
      <w:r>
        <w:rPr>
          <w:rFonts w:eastAsia="Calibri"/>
          <w:i/>
          <w:lang w:eastAsia="en-US"/>
        </w:rPr>
        <w:t>Nagrinėjimas</w:t>
      </w:r>
      <w:r>
        <w:rPr>
          <w:rFonts w:eastAsia="Calibri"/>
          <w:lang w:eastAsia="en-US"/>
        </w:rPr>
        <w:t>.</w:t>
      </w:r>
    </w:p>
    <w:p w:rsidR="00820686" w:rsidRPr="00F05A08" w:rsidRDefault="00820686" w:rsidP="00F05A08">
      <w:pPr>
        <w:ind w:left="-142"/>
        <w:rPr>
          <w:b/>
        </w:rPr>
      </w:pPr>
      <w:r w:rsidRPr="00F05A08">
        <w:rPr>
          <w:b/>
        </w:rPr>
        <w:t>Bendrųjų kompetencijų ugdymo aspektai</w:t>
      </w:r>
      <w:r w:rsidR="00F05A08">
        <w:rPr>
          <w:b/>
        </w:rPr>
        <w:t>:</w:t>
      </w:r>
      <w:r w:rsidR="004864DB" w:rsidRPr="00F05A08">
        <w:rPr>
          <w:rStyle w:val="FootnoteReference"/>
          <w:b/>
        </w:rPr>
        <w:footnoteReference w:id="1"/>
      </w:r>
    </w:p>
    <w:p w:rsidR="007409B1" w:rsidRPr="00F05A08" w:rsidRDefault="007409B1" w:rsidP="00F05A08">
      <w:pPr>
        <w:ind w:left="-142"/>
        <w:rPr>
          <w:b/>
        </w:rPr>
      </w:pPr>
    </w:p>
    <w:p w:rsidR="007409B1" w:rsidRDefault="00EE2997" w:rsidP="007409B1">
      <w:pPr>
        <w:spacing w:line="360" w:lineRule="auto"/>
      </w:pPr>
      <w:r>
        <w:rPr>
          <w:noProof/>
          <w:color w:val="FF0000"/>
        </w:rPr>
        <mc:AlternateContent>
          <mc:Choice Requires="wps">
            <w:drawing>
              <wp:anchor distT="0" distB="0" distL="114300" distR="114300" simplePos="0" relativeHeight="251671552" behindDoc="0" locked="0" layoutInCell="1" allowOverlap="1" wp14:anchorId="764671F4" wp14:editId="078E9647">
                <wp:simplePos x="0" y="0"/>
                <wp:positionH relativeFrom="column">
                  <wp:posOffset>-165735</wp:posOffset>
                </wp:positionH>
                <wp:positionV relativeFrom="paragraph">
                  <wp:posOffset>247650</wp:posOffset>
                </wp:positionV>
                <wp:extent cx="537845" cy="354965"/>
                <wp:effectExtent l="0" t="0" r="14605" b="26035"/>
                <wp:wrapNone/>
                <wp:docPr id="11" name="Paaiškinimas su dešiniąja rodykle 11"/>
                <wp:cNvGraphicFramePr/>
                <a:graphic xmlns:a="http://schemas.openxmlformats.org/drawingml/2006/main">
                  <a:graphicData uri="http://schemas.microsoft.com/office/word/2010/wordprocessingShape">
                    <wps:wsp>
                      <wps:cNvSpPr/>
                      <wps:spPr>
                        <a:xfrm>
                          <a:off x="0" y="0"/>
                          <a:ext cx="537845" cy="354965"/>
                        </a:xfrm>
                        <a:prstGeom prst="rightArrowCallout">
                          <a:avLst/>
                        </a:prstGeom>
                        <a:solidFill>
                          <a:srgbClr val="CAF278">
                            <a:lumMod val="60000"/>
                            <a:lumOff val="40000"/>
                          </a:srgbClr>
                        </a:solidFill>
                        <a:ln w="25400" cap="flat" cmpd="sng" algn="ctr">
                          <a:solidFill>
                            <a:srgbClr val="94C600"/>
                          </a:solidFill>
                          <a:prstDash val="solid"/>
                        </a:ln>
                        <a:effectLst/>
                      </wps:spPr>
                      <wps:txbx>
                        <w:txbxContent>
                          <w:p w:rsidR="00863FB9" w:rsidRDefault="00863FB9" w:rsidP="00863FB9">
                            <w:pPr>
                              <w:jc w:val="center"/>
                            </w:pPr>
                            <w: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4671F4"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Paaiškinimas su dešiniąja rodykle 11" o:spid="_x0000_s1028" type="#_x0000_t78" style="position:absolute;margin-left:-13.05pt;margin-top:19.5pt;width:42.35pt;height:27.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" adj="14035,,18036" fillcolor="#dff7ae" strokecolor="#94c600" strokeweight="2pt">
                <v:textbox>
                  <w:txbxContent>
                    <w:p w:rsidR="00863FB9" w:rsidRDefault="00863FB9" w:rsidP="00863FB9">
                      <w:pPr>
                        <w:jc w:val="center"/>
                      </w:pPr>
                      <w:r>
                        <w:t>S</w:t>
                      </w:r>
                    </w:p>
                  </w:txbxContent>
                </v:textbox>
              </v:shape>
            </w:pict>
          </mc:Fallback>
        </mc:AlternateContent>
      </w:r>
      <w:r w:rsidR="007409B1">
        <w:t>Siekiama, kad mokiniai:</w:t>
      </w:r>
    </w:p>
    <w:p w:rsidR="007409B1" w:rsidRPr="002E44AF" w:rsidRDefault="00EE2997" w:rsidP="00915F51">
      <w:pPr>
        <w:numPr>
          <w:ilvl w:val="0"/>
          <w:numId w:val="6"/>
        </w:numPr>
        <w:tabs>
          <w:tab w:val="left" w:pos="993"/>
        </w:tabs>
        <w:spacing w:line="360" w:lineRule="auto"/>
        <w:ind w:hanging="11"/>
        <w:jc w:val="both"/>
      </w:pPr>
      <w:r>
        <w:rPr>
          <w:noProof/>
          <w:color w:val="FF0000"/>
        </w:rPr>
        <mc:AlternateContent>
          <mc:Choice Requires="wps">
            <w:drawing>
              <wp:anchor distT="0" distB="0" distL="114300" distR="114300" simplePos="0" relativeHeight="251673600" behindDoc="0" locked="0" layoutInCell="1" allowOverlap="1" wp14:anchorId="73679A55" wp14:editId="6898B406">
                <wp:simplePos x="0" y="0"/>
                <wp:positionH relativeFrom="column">
                  <wp:posOffset>-164465</wp:posOffset>
                </wp:positionH>
                <wp:positionV relativeFrom="paragraph">
                  <wp:posOffset>492125</wp:posOffset>
                </wp:positionV>
                <wp:extent cx="537845" cy="354965"/>
                <wp:effectExtent l="0" t="0" r="14605" b="26035"/>
                <wp:wrapNone/>
                <wp:docPr id="12" name="Paaiškinimas su dešiniąja rodykle 12"/>
                <wp:cNvGraphicFramePr/>
                <a:graphic xmlns:a="http://schemas.openxmlformats.org/drawingml/2006/main">
                  <a:graphicData uri="http://schemas.microsoft.com/office/word/2010/wordprocessingShape">
                    <wps:wsp>
                      <wps:cNvSpPr/>
                      <wps:spPr>
                        <a:xfrm>
                          <a:off x="0" y="0"/>
                          <a:ext cx="537845" cy="354965"/>
                        </a:xfrm>
                        <a:prstGeom prst="rightArrowCallout">
                          <a:avLst/>
                        </a:prstGeom>
                        <a:solidFill>
                          <a:schemeClr val="accent6">
                            <a:lumMod val="60000"/>
                            <a:lumOff val="40000"/>
                          </a:schemeClr>
                        </a:solidFill>
                        <a:ln w="25400" cap="flat" cmpd="sng" algn="ctr">
                          <a:solidFill>
                            <a:schemeClr val="accent6"/>
                          </a:solidFill>
                          <a:prstDash val="solid"/>
                        </a:ln>
                        <a:effectLst/>
                      </wps:spPr>
                      <wps:txbx>
                        <w:txbxContent>
                          <w:p w:rsidR="00EE2997" w:rsidRDefault="00EE2997" w:rsidP="00EE2997">
                            <w:pPr>
                              <w:jc w:val="center"/>
                            </w:pPr>
                            <w:r>
                              <w:t>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679A55" id="Paaiškinimas su dešiniąja rodykle 12" o:spid="_x0000_s1029" type="#_x0000_t78" style="position:absolute;left:0;text-align:left;margin-left:-12.95pt;margin-top:38.75pt;width:42.35pt;height:27.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" adj="14035,,18036" fillcolor="#fec57a [1945]" strokecolor="#fea022 [3209]" strokeweight="2pt">
                <v:textbox>
                  <w:txbxContent>
                    <w:p w:rsidR="00EE2997" w:rsidRDefault="00EE2997" w:rsidP="00EE2997">
                      <w:pPr>
                        <w:jc w:val="center"/>
                      </w:pPr>
                      <w:r>
                        <w:t>P</w:t>
                      </w:r>
                    </w:p>
                  </w:txbxContent>
                </v:textbox>
              </v:shape>
            </w:pict>
          </mc:Fallback>
        </mc:AlternateContent>
      </w:r>
      <w:r w:rsidR="007409B1">
        <w:t>Bendradarbiautų, dirbtų komandoje, siektų bendrų tikslų, spręstų problemas, derintų  įvairias nuomones, susitartų ir įvertintų rezultatą;</w:t>
      </w:r>
    </w:p>
    <w:p w:rsidR="007409B1" w:rsidRDefault="007409B1" w:rsidP="00915F51">
      <w:pPr>
        <w:numPr>
          <w:ilvl w:val="0"/>
          <w:numId w:val="6"/>
        </w:numPr>
        <w:tabs>
          <w:tab w:val="left" w:pos="993"/>
        </w:tabs>
        <w:spacing w:line="360" w:lineRule="auto"/>
        <w:ind w:hanging="11"/>
        <w:jc w:val="both"/>
      </w:pPr>
      <w:r>
        <w:t>Keltų problemas ir klausimus, teisingai pasirinktų ir taikytų problemų sprendimo strategijas, ieškotų pagrįstų atsakymų;</w:t>
      </w:r>
    </w:p>
    <w:p w:rsidR="007409B1" w:rsidRDefault="007409B1" w:rsidP="00915F51">
      <w:pPr>
        <w:numPr>
          <w:ilvl w:val="0"/>
          <w:numId w:val="6"/>
        </w:numPr>
        <w:tabs>
          <w:tab w:val="left" w:pos="993"/>
        </w:tabs>
        <w:spacing w:line="360" w:lineRule="auto"/>
        <w:ind w:hanging="11"/>
        <w:jc w:val="both"/>
      </w:pPr>
      <w:r>
        <w:t>Kritiškai mąstytų ir vertintų įvairius informacijos šaltinius, alternatyvius požiūrius;</w:t>
      </w:r>
    </w:p>
    <w:p w:rsidR="007409B1" w:rsidRPr="002E44AF" w:rsidRDefault="00D12F56" w:rsidP="00915F51">
      <w:pPr>
        <w:numPr>
          <w:ilvl w:val="0"/>
          <w:numId w:val="6"/>
        </w:numPr>
        <w:tabs>
          <w:tab w:val="left" w:pos="993"/>
        </w:tabs>
        <w:spacing w:line="360" w:lineRule="auto"/>
        <w:ind w:hanging="11"/>
        <w:jc w:val="both"/>
      </w:pPr>
      <w:r>
        <w:rPr>
          <w:noProof/>
          <w:color w:val="FF0000"/>
        </w:rPr>
        <mc:AlternateContent>
          <mc:Choice Requires="wps">
            <w:drawing>
              <wp:anchor distT="0" distB="0" distL="114300" distR="114300" simplePos="0" relativeHeight="251675648" behindDoc="0" locked="0" layoutInCell="1" allowOverlap="1" wp14:anchorId="07AC23D2" wp14:editId="71E6F57F">
                <wp:simplePos x="0" y="0"/>
                <wp:positionH relativeFrom="column">
                  <wp:posOffset>-163195</wp:posOffset>
                </wp:positionH>
                <wp:positionV relativeFrom="paragraph">
                  <wp:posOffset>200660</wp:posOffset>
                </wp:positionV>
                <wp:extent cx="537845" cy="354965"/>
                <wp:effectExtent l="0" t="0" r="14605" b="26035"/>
                <wp:wrapNone/>
                <wp:docPr id="13" name="Paaiškinimas su dešiniąja rodykle 13"/>
                <wp:cNvGraphicFramePr/>
                <a:graphic xmlns:a="http://schemas.openxmlformats.org/drawingml/2006/main">
                  <a:graphicData uri="http://schemas.microsoft.com/office/word/2010/wordprocessingShape">
                    <wps:wsp>
                      <wps:cNvSpPr/>
                      <wps:spPr>
                        <a:xfrm>
                          <a:off x="0" y="0"/>
                          <a:ext cx="537845" cy="354965"/>
                        </a:xfrm>
                        <a:prstGeom prst="rightArrowCallout">
                          <a:avLst/>
                        </a:prstGeom>
                        <a:solidFill>
                          <a:srgbClr val="CCECFF"/>
                        </a:solidFill>
                        <a:ln w="25400" cap="flat" cmpd="sng" algn="ctr">
                          <a:solidFill>
                            <a:srgbClr val="00B0F0"/>
                          </a:solidFill>
                          <a:prstDash val="solid"/>
                        </a:ln>
                        <a:effectLst/>
                      </wps:spPr>
                      <wps:txbx>
                        <w:txbxContent>
                          <w:p w:rsidR="00D12F56" w:rsidRDefault="00D12F56" w:rsidP="00D12F56">
                            <w:pPr>
                              <w:jc w:val="center"/>
                            </w:pPr>
                            <w:r>
                              <w:t>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C23D2" id="Paaiškinimas su dešiniąja rodykle 13" o:spid="_x0000_s1030" type="#_x0000_t78" style="position:absolute;left:0;text-align:left;margin-left:-12.85pt;margin-top:15.8pt;width:42.35pt;height:27.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" adj="14035,,18036" fillcolor="#ccecff" strokecolor="#00b0f0" strokeweight="2pt">
                <v:textbox>
                  <w:txbxContent>
                    <w:p w:rsidR="00D12F56" w:rsidRDefault="00D12F56" w:rsidP="00D12F56">
                      <w:pPr>
                        <w:jc w:val="center"/>
                      </w:pPr>
                      <w:r>
                        <w:t>K</w:t>
                      </w:r>
                    </w:p>
                  </w:txbxContent>
                </v:textbox>
              </v:shape>
            </w:pict>
          </mc:Fallback>
        </mc:AlternateContent>
      </w:r>
      <w:r w:rsidR="007409B1">
        <w:t>Sistemiškai, logiškai mąstytų, apibendrintų ir padarytų pagrįstas išvadas.</w:t>
      </w:r>
    </w:p>
    <w:p w:rsidR="001605A9" w:rsidRDefault="001605A9" w:rsidP="001605A9">
      <w:pPr>
        <w:numPr>
          <w:ilvl w:val="0"/>
          <w:numId w:val="6"/>
        </w:numPr>
        <w:tabs>
          <w:tab w:val="left" w:pos="993"/>
        </w:tabs>
        <w:spacing w:line="360" w:lineRule="auto"/>
        <w:ind w:hanging="11"/>
        <w:jc w:val="both"/>
      </w:pPr>
      <w:r>
        <w:t>Laikytųsi svarbiausių komunikavimo taisyklių ir susitarimų ir suprastų juos;</w:t>
      </w:r>
    </w:p>
    <w:p w:rsidR="001605A9" w:rsidRDefault="001605A9" w:rsidP="001605A9">
      <w:pPr>
        <w:numPr>
          <w:ilvl w:val="0"/>
          <w:numId w:val="6"/>
        </w:numPr>
        <w:tabs>
          <w:tab w:val="left" w:pos="993"/>
        </w:tabs>
        <w:spacing w:line="360" w:lineRule="auto"/>
        <w:ind w:hanging="11"/>
        <w:jc w:val="both"/>
      </w:pPr>
      <w:r>
        <w:t>Praktiškai taikytų kalbos žinias, laikytųsi kalbos normų;</w:t>
      </w:r>
    </w:p>
    <w:p w:rsidR="001605A9" w:rsidRDefault="001605A9" w:rsidP="001605A9">
      <w:pPr>
        <w:numPr>
          <w:ilvl w:val="0"/>
          <w:numId w:val="6"/>
        </w:numPr>
        <w:tabs>
          <w:tab w:val="left" w:pos="993"/>
        </w:tabs>
        <w:spacing w:line="360" w:lineRule="auto"/>
        <w:ind w:hanging="11"/>
        <w:jc w:val="both"/>
      </w:pPr>
      <w:r>
        <w:t>Bendrautų, aiškintųsi prasmes ir jas kurtų, tikslingai naudodamiesi komunikavimo priemonėmis;</w:t>
      </w:r>
    </w:p>
    <w:p w:rsidR="001605A9" w:rsidRDefault="004864DB" w:rsidP="001605A9">
      <w:pPr>
        <w:numPr>
          <w:ilvl w:val="0"/>
          <w:numId w:val="6"/>
        </w:numPr>
        <w:tabs>
          <w:tab w:val="left" w:pos="993"/>
        </w:tabs>
        <w:spacing w:line="360" w:lineRule="auto"/>
        <w:ind w:hanging="11"/>
        <w:jc w:val="both"/>
      </w:pPr>
      <w:r>
        <w:rPr>
          <w:noProof/>
          <w:color w:val="FF0000"/>
        </w:rPr>
        <mc:AlternateContent>
          <mc:Choice Requires="wps">
            <w:drawing>
              <wp:anchor distT="0" distB="0" distL="114300" distR="114300" simplePos="0" relativeHeight="251677696" behindDoc="0" locked="0" layoutInCell="1" allowOverlap="1" wp14:anchorId="38D3059F" wp14:editId="128B89EB">
                <wp:simplePos x="0" y="0"/>
                <wp:positionH relativeFrom="column">
                  <wp:posOffset>-163195</wp:posOffset>
                </wp:positionH>
                <wp:positionV relativeFrom="paragraph">
                  <wp:posOffset>520065</wp:posOffset>
                </wp:positionV>
                <wp:extent cx="537845" cy="354965"/>
                <wp:effectExtent l="0" t="0" r="14605" b="26035"/>
                <wp:wrapNone/>
                <wp:docPr id="14" name="Paaiškinimas su dešiniąja rodykle 14"/>
                <wp:cNvGraphicFramePr/>
                <a:graphic xmlns:a="http://schemas.openxmlformats.org/drawingml/2006/main">
                  <a:graphicData uri="http://schemas.microsoft.com/office/word/2010/wordprocessingShape">
                    <wps:wsp>
                      <wps:cNvSpPr/>
                      <wps:spPr>
                        <a:xfrm>
                          <a:off x="0" y="0"/>
                          <a:ext cx="537845" cy="354965"/>
                        </a:xfrm>
                        <a:prstGeom prst="rightArrowCallout">
                          <a:avLst/>
                        </a:prstGeom>
                        <a:solidFill>
                          <a:srgbClr val="FFFF66"/>
                        </a:solidFill>
                        <a:ln w="25400" cap="flat" cmpd="sng" algn="ctr">
                          <a:solidFill>
                            <a:srgbClr val="FFCC00"/>
                          </a:solidFill>
                          <a:prstDash val="solid"/>
                        </a:ln>
                        <a:effectLst/>
                      </wps:spPr>
                      <wps:txbx>
                        <w:txbxContent>
                          <w:p w:rsidR="004864DB" w:rsidRDefault="004864DB" w:rsidP="004864DB">
                            <w:pPr>
                              <w:jc w:val="center"/>
                            </w:pPr>
                            <w: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3059F" id="Paaiškinimas su dešiniąja rodykle 14" o:spid="_x0000_s1031" type="#_x0000_t78" style="position:absolute;left:0;text-align:left;margin-left:-12.85pt;margin-top:40.95pt;width:42.35pt;height:27.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" adj="14035,,18036" fillcolor="#ff6" strokecolor="#fc0" strokeweight="2pt">
                <v:textbox>
                  <w:txbxContent>
                    <w:p w:rsidR="004864DB" w:rsidRDefault="004864DB" w:rsidP="004864DB">
                      <w:pPr>
                        <w:jc w:val="center"/>
                      </w:pPr>
                      <w:r>
                        <w:t>M</w:t>
                      </w:r>
                    </w:p>
                  </w:txbxContent>
                </v:textbox>
              </v:shape>
            </w:pict>
          </mc:Fallback>
        </mc:AlternateContent>
      </w:r>
      <w:r w:rsidR="001605A9">
        <w:t>Naudotųsi verbalinėmis ir neverbalinėmis strategijomis, norėdami būti suprasti ir suprasti kitus;</w:t>
      </w:r>
    </w:p>
    <w:p w:rsidR="00B24173" w:rsidRPr="00765065" w:rsidRDefault="004864DB" w:rsidP="00765065">
      <w:pPr>
        <w:numPr>
          <w:ilvl w:val="0"/>
          <w:numId w:val="6"/>
        </w:numPr>
        <w:tabs>
          <w:tab w:val="left" w:pos="993"/>
        </w:tabs>
        <w:spacing w:line="360" w:lineRule="auto"/>
        <w:ind w:hanging="11"/>
        <w:jc w:val="both"/>
      </w:pPr>
      <w:r>
        <w:t>Kontroliuotų savo mokymąsi – pasinaudodami grįžtamojo ryšio informacija, keltų mokymosi tikslus, organizuotų mokymosi veiklas</w:t>
      </w:r>
      <w:r w:rsidR="00981345">
        <w:t>.</w:t>
      </w:r>
    </w:p>
    <w:p w:rsidR="000C58AE" w:rsidRPr="0014488A" w:rsidRDefault="00B24173" w:rsidP="0014488A">
      <w:pPr>
        <w:spacing w:after="200" w:line="360" w:lineRule="auto"/>
        <w:ind w:left="-567" w:firstLine="425"/>
        <w:jc w:val="both"/>
        <w:rPr>
          <w:rFonts w:eastAsia="Calibri"/>
          <w:b/>
          <w:lang w:eastAsia="en-US"/>
        </w:rPr>
      </w:pPr>
      <w:r>
        <w:rPr>
          <w:rFonts w:eastAsia="Calibri"/>
          <w:b/>
          <w:lang w:eastAsia="en-US"/>
        </w:rPr>
        <w:lastRenderedPageBreak/>
        <w:t>Pamokų eiga</w:t>
      </w:r>
    </w:p>
    <w:p w:rsidR="000C58AE" w:rsidRDefault="002D0B67" w:rsidP="00075E0A">
      <w:pPr>
        <w:spacing w:after="200" w:line="360" w:lineRule="auto"/>
        <w:ind w:left="-567" w:firstLine="425"/>
        <w:jc w:val="both"/>
        <w:rPr>
          <w:rFonts w:eastAsia="Calibri"/>
          <w:lang w:eastAsia="en-US"/>
        </w:rPr>
      </w:pPr>
      <w:bookmarkStart w:id="0" w:name="_GoBack"/>
      <w:r>
        <w:rPr>
          <w:rFonts w:eastAsia="Calibri"/>
          <w:noProof/>
        </w:rPr>
        <w:drawing>
          <wp:inline distT="0" distB="0" distL="0" distR="0" wp14:anchorId="659385ED" wp14:editId="6785BA79">
            <wp:extent cx="6088828" cy="7110804"/>
            <wp:effectExtent l="0" t="0" r="7620" b="1397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bookmarkEnd w:id="0"/>
    </w:p>
    <w:p w:rsidR="00EF03EB" w:rsidRDefault="00EF03EB" w:rsidP="00075E0A">
      <w:pPr>
        <w:spacing w:after="200" w:line="360" w:lineRule="auto"/>
        <w:ind w:left="-567" w:firstLine="425"/>
        <w:jc w:val="both"/>
        <w:rPr>
          <w:rFonts w:eastAsia="Calibri"/>
          <w:lang w:eastAsia="en-US"/>
        </w:rPr>
      </w:pPr>
    </w:p>
    <w:p w:rsidR="00140A43" w:rsidRDefault="00140A43" w:rsidP="00075E0A">
      <w:pPr>
        <w:spacing w:after="200" w:line="360" w:lineRule="auto"/>
        <w:ind w:left="-567" w:firstLine="425"/>
        <w:jc w:val="both"/>
        <w:rPr>
          <w:rFonts w:eastAsia="Calibri"/>
          <w:lang w:eastAsia="en-US"/>
        </w:rPr>
      </w:pPr>
    </w:p>
    <w:p w:rsidR="00140A43" w:rsidRDefault="00140A43" w:rsidP="00664A82">
      <w:pPr>
        <w:spacing w:after="200" w:line="360" w:lineRule="auto"/>
        <w:jc w:val="both"/>
        <w:rPr>
          <w:rFonts w:eastAsia="Calibri"/>
          <w:lang w:eastAsia="en-US"/>
        </w:rPr>
      </w:pPr>
    </w:p>
    <w:p w:rsidR="008F097D" w:rsidRDefault="008F097D" w:rsidP="00664A82">
      <w:pPr>
        <w:rPr>
          <w:rFonts w:eastAsia="Calibri"/>
          <w:i/>
          <w:lang w:eastAsia="en-US"/>
        </w:rPr>
      </w:pPr>
    </w:p>
    <w:sectPr w:rsidR="008F097D" w:rsidSect="008F097D">
      <w:footerReference w:type="default" r:id="rId14"/>
      <w:pgSz w:w="11906" w:h="16838"/>
      <w:pgMar w:top="1134" w:right="113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1538" w:rsidRDefault="00AF1538" w:rsidP="00703EE2">
      <w:r>
        <w:separator/>
      </w:r>
    </w:p>
  </w:endnote>
  <w:endnote w:type="continuationSeparator" w:id="0">
    <w:p w:rsidR="00AF1538" w:rsidRDefault="00AF1538" w:rsidP="00703E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299015"/>
      <w:docPartObj>
        <w:docPartGallery w:val="Page Numbers (Bottom of Page)"/>
        <w:docPartUnique/>
      </w:docPartObj>
    </w:sdtPr>
    <w:sdtEndPr/>
    <w:sdtContent>
      <w:p w:rsidR="00703EE2" w:rsidRDefault="00703EE2">
        <w:pPr>
          <w:pStyle w:val="Footer"/>
          <w:jc w:val="right"/>
        </w:pPr>
        <w:r>
          <w:fldChar w:fldCharType="begin"/>
        </w:r>
        <w:r>
          <w:instrText>PAGE   \* MERGEFORMAT</w:instrText>
        </w:r>
        <w:r>
          <w:fldChar w:fldCharType="separate"/>
        </w:r>
        <w:r w:rsidR="000E7C34">
          <w:rPr>
            <w:noProof/>
          </w:rPr>
          <w:t>3</w:t>
        </w:r>
        <w:r>
          <w:fldChar w:fldCharType="end"/>
        </w:r>
      </w:p>
    </w:sdtContent>
  </w:sdt>
  <w:p w:rsidR="00703EE2" w:rsidRDefault="00703E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1538" w:rsidRDefault="00AF1538" w:rsidP="00703EE2">
      <w:r>
        <w:separator/>
      </w:r>
    </w:p>
  </w:footnote>
  <w:footnote w:type="continuationSeparator" w:id="0">
    <w:p w:rsidR="00AF1538" w:rsidRDefault="00AF1538" w:rsidP="00703EE2">
      <w:r>
        <w:continuationSeparator/>
      </w:r>
    </w:p>
  </w:footnote>
  <w:footnote w:id="1">
    <w:p w:rsidR="004864DB" w:rsidRPr="0079074E" w:rsidRDefault="004864DB">
      <w:pPr>
        <w:pStyle w:val="FootnoteText"/>
        <w:rPr>
          <w:sz w:val="22"/>
          <w:szCs w:val="22"/>
        </w:rPr>
      </w:pPr>
      <w:r w:rsidRPr="0079074E">
        <w:rPr>
          <w:rStyle w:val="FootnoteReference"/>
          <w:sz w:val="22"/>
          <w:szCs w:val="22"/>
        </w:rPr>
        <w:footnoteRef/>
      </w:r>
      <w:r w:rsidRPr="0079074E">
        <w:rPr>
          <w:sz w:val="22"/>
          <w:szCs w:val="22"/>
        </w:rPr>
        <w:t xml:space="preserve"> S – socialinė pilietinė kompetencija, P – pažinimo kompetencija, K – komunikavimo kompetencija, M – mokėjimo mokytis kompetencija,</w:t>
      </w:r>
    </w:p>
    <w:p w:rsidR="004864DB" w:rsidRDefault="004864DB">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352079"/>
    <w:multiLevelType w:val="hybridMultilevel"/>
    <w:tmpl w:val="F74CCCD0"/>
    <w:lvl w:ilvl="0" w:tplc="04270001">
      <w:start w:val="1"/>
      <w:numFmt w:val="bullet"/>
      <w:lvlText w:val=""/>
      <w:lvlJc w:val="left"/>
      <w:pPr>
        <w:ind w:left="2160" w:hanging="360"/>
      </w:pPr>
      <w:rPr>
        <w:rFonts w:ascii="Symbol" w:hAnsi="Symbol" w:hint="default"/>
      </w:rPr>
    </w:lvl>
    <w:lvl w:ilvl="1" w:tplc="04270003">
      <w:start w:val="1"/>
      <w:numFmt w:val="bullet"/>
      <w:lvlText w:val="o"/>
      <w:lvlJc w:val="left"/>
      <w:pPr>
        <w:ind w:left="2880" w:hanging="360"/>
      </w:pPr>
      <w:rPr>
        <w:rFonts w:ascii="Courier New" w:hAnsi="Courier New" w:cs="Courier New" w:hint="default"/>
      </w:rPr>
    </w:lvl>
    <w:lvl w:ilvl="2" w:tplc="04270005">
      <w:start w:val="1"/>
      <w:numFmt w:val="bullet"/>
      <w:lvlText w:val=""/>
      <w:lvlJc w:val="left"/>
      <w:pPr>
        <w:ind w:left="3600" w:hanging="360"/>
      </w:pPr>
      <w:rPr>
        <w:rFonts w:ascii="Wingdings" w:hAnsi="Wingdings" w:hint="default"/>
      </w:rPr>
    </w:lvl>
    <w:lvl w:ilvl="3" w:tplc="04270001">
      <w:start w:val="1"/>
      <w:numFmt w:val="bullet"/>
      <w:lvlText w:val=""/>
      <w:lvlJc w:val="left"/>
      <w:pPr>
        <w:ind w:left="4320" w:hanging="360"/>
      </w:pPr>
      <w:rPr>
        <w:rFonts w:ascii="Symbol" w:hAnsi="Symbol" w:hint="default"/>
      </w:rPr>
    </w:lvl>
    <w:lvl w:ilvl="4" w:tplc="04270003">
      <w:start w:val="1"/>
      <w:numFmt w:val="bullet"/>
      <w:lvlText w:val="o"/>
      <w:lvlJc w:val="left"/>
      <w:pPr>
        <w:ind w:left="5040" w:hanging="360"/>
      </w:pPr>
      <w:rPr>
        <w:rFonts w:ascii="Courier New" w:hAnsi="Courier New" w:cs="Courier New" w:hint="default"/>
      </w:rPr>
    </w:lvl>
    <w:lvl w:ilvl="5" w:tplc="04270005">
      <w:start w:val="1"/>
      <w:numFmt w:val="bullet"/>
      <w:lvlText w:val=""/>
      <w:lvlJc w:val="left"/>
      <w:pPr>
        <w:ind w:left="5760" w:hanging="360"/>
      </w:pPr>
      <w:rPr>
        <w:rFonts w:ascii="Wingdings" w:hAnsi="Wingdings" w:hint="default"/>
      </w:rPr>
    </w:lvl>
    <w:lvl w:ilvl="6" w:tplc="04270001">
      <w:start w:val="1"/>
      <w:numFmt w:val="bullet"/>
      <w:lvlText w:val=""/>
      <w:lvlJc w:val="left"/>
      <w:pPr>
        <w:ind w:left="6480" w:hanging="360"/>
      </w:pPr>
      <w:rPr>
        <w:rFonts w:ascii="Symbol" w:hAnsi="Symbol" w:hint="default"/>
      </w:rPr>
    </w:lvl>
    <w:lvl w:ilvl="7" w:tplc="04270003">
      <w:start w:val="1"/>
      <w:numFmt w:val="bullet"/>
      <w:lvlText w:val="o"/>
      <w:lvlJc w:val="left"/>
      <w:pPr>
        <w:ind w:left="7200" w:hanging="360"/>
      </w:pPr>
      <w:rPr>
        <w:rFonts w:ascii="Courier New" w:hAnsi="Courier New" w:cs="Courier New" w:hint="default"/>
      </w:rPr>
    </w:lvl>
    <w:lvl w:ilvl="8" w:tplc="04270005">
      <w:start w:val="1"/>
      <w:numFmt w:val="bullet"/>
      <w:lvlText w:val=""/>
      <w:lvlJc w:val="left"/>
      <w:pPr>
        <w:ind w:left="7920" w:hanging="360"/>
      </w:pPr>
      <w:rPr>
        <w:rFonts w:ascii="Wingdings" w:hAnsi="Wingdings" w:hint="default"/>
      </w:rPr>
    </w:lvl>
  </w:abstractNum>
  <w:abstractNum w:abstractNumId="1">
    <w:nsid w:val="119667AD"/>
    <w:multiLevelType w:val="hybridMultilevel"/>
    <w:tmpl w:val="3F180B6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28893D27"/>
    <w:multiLevelType w:val="hybridMultilevel"/>
    <w:tmpl w:val="69485882"/>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3">
    <w:nsid w:val="33370590"/>
    <w:multiLevelType w:val="hybridMultilevel"/>
    <w:tmpl w:val="30C4556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3B074B19"/>
    <w:multiLevelType w:val="multilevel"/>
    <w:tmpl w:val="41DC105A"/>
    <w:lvl w:ilvl="0">
      <w:start w:val="1"/>
      <w:numFmt w:val="upperRoman"/>
      <w:lvlText w:val="%1."/>
      <w:lvlJc w:val="left"/>
      <w:pPr>
        <w:ind w:left="1080" w:hanging="720"/>
      </w:pPr>
    </w:lvl>
    <w:lvl w:ilvl="1">
      <w:start w:val="1"/>
      <w:numFmt w:val="decimal"/>
      <w:isLgl/>
      <w:lvlText w:val="%1.%2"/>
      <w:lvlJc w:val="left"/>
      <w:pPr>
        <w:ind w:left="1440" w:hanging="360"/>
      </w:pPr>
    </w:lvl>
    <w:lvl w:ilvl="2">
      <w:start w:val="1"/>
      <w:numFmt w:val="bullet"/>
      <w:lvlText w:val=""/>
      <w:lvlJc w:val="left"/>
      <w:pPr>
        <w:ind w:left="2520" w:hanging="720"/>
      </w:pPr>
      <w:rPr>
        <w:rFonts w:ascii="Symbol" w:hAnsi="Symbol" w:hint="default"/>
      </w:rPr>
    </w:lvl>
    <w:lvl w:ilvl="3">
      <w:start w:val="1"/>
      <w:numFmt w:val="decimal"/>
      <w:isLgl/>
      <w:lvlText w:val="%1.%2.%3.%4"/>
      <w:lvlJc w:val="left"/>
      <w:pPr>
        <w:ind w:left="3240" w:hanging="720"/>
      </w:pPr>
    </w:lvl>
    <w:lvl w:ilvl="4">
      <w:start w:val="1"/>
      <w:numFmt w:val="decimal"/>
      <w:isLgl/>
      <w:lvlText w:val="%1.%2.%3.%4.%5"/>
      <w:lvlJc w:val="left"/>
      <w:pPr>
        <w:ind w:left="4320" w:hanging="1080"/>
      </w:pPr>
    </w:lvl>
    <w:lvl w:ilvl="5">
      <w:start w:val="1"/>
      <w:numFmt w:val="decimal"/>
      <w:isLgl/>
      <w:lvlText w:val="%1.%2.%3.%4.%5.%6"/>
      <w:lvlJc w:val="left"/>
      <w:pPr>
        <w:ind w:left="5040" w:hanging="1080"/>
      </w:pPr>
    </w:lvl>
    <w:lvl w:ilvl="6">
      <w:start w:val="1"/>
      <w:numFmt w:val="decimal"/>
      <w:isLgl/>
      <w:lvlText w:val="%1.%2.%3.%4.%5.%6.%7"/>
      <w:lvlJc w:val="left"/>
      <w:pPr>
        <w:ind w:left="6120" w:hanging="1440"/>
      </w:pPr>
    </w:lvl>
    <w:lvl w:ilvl="7">
      <w:start w:val="1"/>
      <w:numFmt w:val="decimal"/>
      <w:isLgl/>
      <w:lvlText w:val="%1.%2.%3.%4.%5.%6.%7.%8"/>
      <w:lvlJc w:val="left"/>
      <w:pPr>
        <w:ind w:left="6840" w:hanging="1440"/>
      </w:pPr>
    </w:lvl>
    <w:lvl w:ilvl="8">
      <w:start w:val="1"/>
      <w:numFmt w:val="decimal"/>
      <w:isLgl/>
      <w:lvlText w:val="%1.%2.%3.%4.%5.%6.%7.%8.%9"/>
      <w:lvlJc w:val="left"/>
      <w:pPr>
        <w:ind w:left="7920" w:hanging="1800"/>
      </w:pPr>
    </w:lvl>
  </w:abstractNum>
  <w:abstractNum w:abstractNumId="5">
    <w:nsid w:val="411B7030"/>
    <w:multiLevelType w:val="hybridMultilevel"/>
    <w:tmpl w:val="8D86DD5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56A71F2E"/>
    <w:multiLevelType w:val="hybridMultilevel"/>
    <w:tmpl w:val="B2308B5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nsid w:val="75307D22"/>
    <w:multiLevelType w:val="hybridMultilevel"/>
    <w:tmpl w:val="37A42078"/>
    <w:lvl w:ilvl="0" w:tplc="B546B7B8">
      <w:start w:val="1"/>
      <w:numFmt w:val="decimal"/>
      <w:lvlText w:val="%1."/>
      <w:lvlJc w:val="left"/>
      <w:pPr>
        <w:ind w:left="1440" w:hanging="360"/>
      </w:pPr>
    </w:lvl>
    <w:lvl w:ilvl="1" w:tplc="04270001">
      <w:start w:val="1"/>
      <w:numFmt w:val="bullet"/>
      <w:lvlText w:val=""/>
      <w:lvlJc w:val="left"/>
      <w:pPr>
        <w:ind w:left="2160" w:hanging="360"/>
      </w:pPr>
      <w:rPr>
        <w:rFonts w:ascii="Symbol" w:hAnsi="Symbol" w:hint="default"/>
      </w:r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num w:numId="1">
    <w:abstractNumId w:val="2"/>
  </w:num>
  <w:num w:numId="2">
    <w:abstractNumId w:val="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3"/>
  </w:num>
  <w:num w:numId="6">
    <w:abstractNumId w:val="5"/>
  </w:num>
  <w:num w:numId="7">
    <w:abstractNumId w:val="6"/>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990"/>
    <w:rsid w:val="000237FE"/>
    <w:rsid w:val="000259C3"/>
    <w:rsid w:val="000349BB"/>
    <w:rsid w:val="00037A0C"/>
    <w:rsid w:val="0006141C"/>
    <w:rsid w:val="000614BE"/>
    <w:rsid w:val="00075E0A"/>
    <w:rsid w:val="00090595"/>
    <w:rsid w:val="000935EF"/>
    <w:rsid w:val="000A6CBA"/>
    <w:rsid w:val="000C58AE"/>
    <w:rsid w:val="000E7C34"/>
    <w:rsid w:val="000F16C7"/>
    <w:rsid w:val="000F40AB"/>
    <w:rsid w:val="00132A3E"/>
    <w:rsid w:val="00140A43"/>
    <w:rsid w:val="0014488A"/>
    <w:rsid w:val="001605A9"/>
    <w:rsid w:val="00172040"/>
    <w:rsid w:val="001A24CE"/>
    <w:rsid w:val="001B2B92"/>
    <w:rsid w:val="001D14E3"/>
    <w:rsid w:val="0020124F"/>
    <w:rsid w:val="00254B44"/>
    <w:rsid w:val="00263683"/>
    <w:rsid w:val="002805D4"/>
    <w:rsid w:val="0028182E"/>
    <w:rsid w:val="002915CC"/>
    <w:rsid w:val="002D0B67"/>
    <w:rsid w:val="00327AC6"/>
    <w:rsid w:val="00330640"/>
    <w:rsid w:val="003561B5"/>
    <w:rsid w:val="00362D06"/>
    <w:rsid w:val="00383EE5"/>
    <w:rsid w:val="003852F7"/>
    <w:rsid w:val="003F02DF"/>
    <w:rsid w:val="003F2495"/>
    <w:rsid w:val="00405E41"/>
    <w:rsid w:val="00406185"/>
    <w:rsid w:val="00412C4A"/>
    <w:rsid w:val="00415B5B"/>
    <w:rsid w:val="00424C49"/>
    <w:rsid w:val="0047409D"/>
    <w:rsid w:val="004864DB"/>
    <w:rsid w:val="004B6D7B"/>
    <w:rsid w:val="00516210"/>
    <w:rsid w:val="005248EA"/>
    <w:rsid w:val="0057531C"/>
    <w:rsid w:val="0059148C"/>
    <w:rsid w:val="005B24D2"/>
    <w:rsid w:val="005C3E85"/>
    <w:rsid w:val="00601CE7"/>
    <w:rsid w:val="0062752F"/>
    <w:rsid w:val="00664A82"/>
    <w:rsid w:val="00687272"/>
    <w:rsid w:val="006B4850"/>
    <w:rsid w:val="006D28D1"/>
    <w:rsid w:val="006F64CC"/>
    <w:rsid w:val="0070053A"/>
    <w:rsid w:val="00701466"/>
    <w:rsid w:val="00703EE2"/>
    <w:rsid w:val="007409B1"/>
    <w:rsid w:val="00751599"/>
    <w:rsid w:val="00765065"/>
    <w:rsid w:val="0077597F"/>
    <w:rsid w:val="00787E1A"/>
    <w:rsid w:val="0079074E"/>
    <w:rsid w:val="00793C41"/>
    <w:rsid w:val="007B47CC"/>
    <w:rsid w:val="007C5D09"/>
    <w:rsid w:val="00820686"/>
    <w:rsid w:val="008266D7"/>
    <w:rsid w:val="00835801"/>
    <w:rsid w:val="008462C6"/>
    <w:rsid w:val="00850294"/>
    <w:rsid w:val="00855C8F"/>
    <w:rsid w:val="00863FB9"/>
    <w:rsid w:val="008935D3"/>
    <w:rsid w:val="008A3649"/>
    <w:rsid w:val="008A546A"/>
    <w:rsid w:val="008E337E"/>
    <w:rsid w:val="008F097D"/>
    <w:rsid w:val="008F3D31"/>
    <w:rsid w:val="00915F51"/>
    <w:rsid w:val="00930D2E"/>
    <w:rsid w:val="009373DC"/>
    <w:rsid w:val="0094089D"/>
    <w:rsid w:val="00964DD8"/>
    <w:rsid w:val="00966E84"/>
    <w:rsid w:val="00976721"/>
    <w:rsid w:val="00977C5D"/>
    <w:rsid w:val="00981345"/>
    <w:rsid w:val="009921BC"/>
    <w:rsid w:val="009A03F9"/>
    <w:rsid w:val="009A3675"/>
    <w:rsid w:val="009E29D0"/>
    <w:rsid w:val="009E3617"/>
    <w:rsid w:val="009E73E8"/>
    <w:rsid w:val="009F21D4"/>
    <w:rsid w:val="009F7285"/>
    <w:rsid w:val="00A27E87"/>
    <w:rsid w:val="00A43990"/>
    <w:rsid w:val="00A56F88"/>
    <w:rsid w:val="00A6241A"/>
    <w:rsid w:val="00A70486"/>
    <w:rsid w:val="00A83F9B"/>
    <w:rsid w:val="00AB1922"/>
    <w:rsid w:val="00AD2064"/>
    <w:rsid w:val="00AF1538"/>
    <w:rsid w:val="00AF611C"/>
    <w:rsid w:val="00B12E89"/>
    <w:rsid w:val="00B24173"/>
    <w:rsid w:val="00B37AFB"/>
    <w:rsid w:val="00B608DD"/>
    <w:rsid w:val="00B709EF"/>
    <w:rsid w:val="00BA01BC"/>
    <w:rsid w:val="00BD439D"/>
    <w:rsid w:val="00BE3F2F"/>
    <w:rsid w:val="00BE4AB6"/>
    <w:rsid w:val="00C03608"/>
    <w:rsid w:val="00C11C31"/>
    <w:rsid w:val="00C20C9D"/>
    <w:rsid w:val="00C51EDD"/>
    <w:rsid w:val="00C54F94"/>
    <w:rsid w:val="00CC33AF"/>
    <w:rsid w:val="00CC766B"/>
    <w:rsid w:val="00CF7916"/>
    <w:rsid w:val="00D12F56"/>
    <w:rsid w:val="00D136FF"/>
    <w:rsid w:val="00D2534C"/>
    <w:rsid w:val="00D539F8"/>
    <w:rsid w:val="00D978E9"/>
    <w:rsid w:val="00DE2AB3"/>
    <w:rsid w:val="00DE30AB"/>
    <w:rsid w:val="00DE5F97"/>
    <w:rsid w:val="00DF54FD"/>
    <w:rsid w:val="00E0247B"/>
    <w:rsid w:val="00E042C0"/>
    <w:rsid w:val="00E20C8A"/>
    <w:rsid w:val="00E42EC5"/>
    <w:rsid w:val="00E73FAC"/>
    <w:rsid w:val="00E7686F"/>
    <w:rsid w:val="00E94DFF"/>
    <w:rsid w:val="00ED3885"/>
    <w:rsid w:val="00EE2997"/>
    <w:rsid w:val="00EF03EB"/>
    <w:rsid w:val="00F05A08"/>
    <w:rsid w:val="00F10B07"/>
    <w:rsid w:val="00F17954"/>
    <w:rsid w:val="00F17D63"/>
    <w:rsid w:val="00F54C3D"/>
    <w:rsid w:val="00F70841"/>
    <w:rsid w:val="00F71E01"/>
    <w:rsid w:val="00F85F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7FB54D-ADE1-4F03-AE6F-11434D219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097D"/>
    <w:pPr>
      <w:spacing w:after="0" w:line="240" w:lineRule="auto"/>
    </w:pPr>
    <w:rPr>
      <w:rFonts w:ascii="Times New Roman" w:eastAsia="Times New Roman" w:hAnsi="Times New Roman" w:cs="Times New Roman"/>
      <w:sz w:val="24"/>
      <w:szCs w:val="24"/>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7E1A"/>
    <w:rPr>
      <w:rFonts w:ascii="Tahoma" w:hAnsi="Tahoma" w:cs="Tahoma"/>
      <w:sz w:val="16"/>
      <w:szCs w:val="16"/>
    </w:rPr>
  </w:style>
  <w:style w:type="character" w:customStyle="1" w:styleId="BalloonTextChar">
    <w:name w:val="Balloon Text Char"/>
    <w:basedOn w:val="DefaultParagraphFont"/>
    <w:link w:val="BalloonText"/>
    <w:uiPriority w:val="99"/>
    <w:semiHidden/>
    <w:rsid w:val="00787E1A"/>
    <w:rPr>
      <w:rFonts w:ascii="Tahoma" w:eastAsia="Times New Roman" w:hAnsi="Tahoma" w:cs="Tahoma"/>
      <w:sz w:val="16"/>
      <w:szCs w:val="16"/>
      <w:lang w:eastAsia="lt-LT"/>
    </w:rPr>
  </w:style>
  <w:style w:type="paragraph" w:styleId="Header">
    <w:name w:val="header"/>
    <w:basedOn w:val="Normal"/>
    <w:link w:val="HeaderChar"/>
    <w:uiPriority w:val="99"/>
    <w:unhideWhenUsed/>
    <w:rsid w:val="00703EE2"/>
    <w:pPr>
      <w:tabs>
        <w:tab w:val="center" w:pos="4819"/>
        <w:tab w:val="right" w:pos="9638"/>
      </w:tabs>
    </w:pPr>
  </w:style>
  <w:style w:type="character" w:customStyle="1" w:styleId="HeaderChar">
    <w:name w:val="Header Char"/>
    <w:basedOn w:val="DefaultParagraphFont"/>
    <w:link w:val="Header"/>
    <w:uiPriority w:val="99"/>
    <w:rsid w:val="00703EE2"/>
    <w:rPr>
      <w:rFonts w:ascii="Times New Roman" w:eastAsia="Times New Roman" w:hAnsi="Times New Roman" w:cs="Times New Roman"/>
      <w:sz w:val="24"/>
      <w:szCs w:val="24"/>
      <w:lang w:eastAsia="lt-LT"/>
    </w:rPr>
  </w:style>
  <w:style w:type="paragraph" w:styleId="Footer">
    <w:name w:val="footer"/>
    <w:basedOn w:val="Normal"/>
    <w:link w:val="FooterChar"/>
    <w:uiPriority w:val="99"/>
    <w:unhideWhenUsed/>
    <w:rsid w:val="00703EE2"/>
    <w:pPr>
      <w:tabs>
        <w:tab w:val="center" w:pos="4819"/>
        <w:tab w:val="right" w:pos="9638"/>
      </w:tabs>
    </w:pPr>
  </w:style>
  <w:style w:type="character" w:customStyle="1" w:styleId="FooterChar">
    <w:name w:val="Footer Char"/>
    <w:basedOn w:val="DefaultParagraphFont"/>
    <w:link w:val="Footer"/>
    <w:uiPriority w:val="99"/>
    <w:rsid w:val="00703EE2"/>
    <w:rPr>
      <w:rFonts w:ascii="Times New Roman" w:eastAsia="Times New Roman" w:hAnsi="Times New Roman" w:cs="Times New Roman"/>
      <w:sz w:val="24"/>
      <w:szCs w:val="24"/>
      <w:lang w:eastAsia="lt-LT"/>
    </w:rPr>
  </w:style>
  <w:style w:type="character" w:styleId="SubtleReference">
    <w:name w:val="Subtle Reference"/>
    <w:basedOn w:val="DefaultParagraphFont"/>
    <w:uiPriority w:val="31"/>
    <w:qFormat/>
    <w:rsid w:val="00BE4AB6"/>
    <w:rPr>
      <w:smallCaps/>
      <w:color w:val="71685A" w:themeColor="accent2"/>
      <w:u w:val="single"/>
    </w:rPr>
  </w:style>
  <w:style w:type="paragraph" w:styleId="ListParagraph">
    <w:name w:val="List Paragraph"/>
    <w:basedOn w:val="Normal"/>
    <w:uiPriority w:val="34"/>
    <w:qFormat/>
    <w:rsid w:val="00383EE5"/>
    <w:pPr>
      <w:ind w:left="720"/>
      <w:contextualSpacing/>
    </w:pPr>
  </w:style>
  <w:style w:type="paragraph" w:styleId="FootnoteText">
    <w:name w:val="footnote text"/>
    <w:basedOn w:val="Normal"/>
    <w:link w:val="FootnoteTextChar"/>
    <w:uiPriority w:val="99"/>
    <w:semiHidden/>
    <w:unhideWhenUsed/>
    <w:rsid w:val="004864DB"/>
    <w:rPr>
      <w:sz w:val="20"/>
      <w:szCs w:val="20"/>
    </w:rPr>
  </w:style>
  <w:style w:type="character" w:customStyle="1" w:styleId="FootnoteTextChar">
    <w:name w:val="Footnote Text Char"/>
    <w:basedOn w:val="DefaultParagraphFont"/>
    <w:link w:val="FootnoteText"/>
    <w:uiPriority w:val="99"/>
    <w:semiHidden/>
    <w:rsid w:val="004864DB"/>
    <w:rPr>
      <w:rFonts w:ascii="Times New Roman" w:eastAsia="Times New Roman" w:hAnsi="Times New Roman" w:cs="Times New Roman"/>
      <w:sz w:val="20"/>
      <w:szCs w:val="20"/>
      <w:lang w:eastAsia="lt-LT"/>
    </w:rPr>
  </w:style>
  <w:style w:type="character" w:styleId="FootnoteReference">
    <w:name w:val="footnote reference"/>
    <w:basedOn w:val="DefaultParagraphFont"/>
    <w:uiPriority w:val="99"/>
    <w:semiHidden/>
    <w:unhideWhenUsed/>
    <w:rsid w:val="004864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8022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diagrams/_rels/data1.xml.rels><?xml version="1.0" encoding="UTF-8" standalone="yes"?>
<Relationships xmlns="http://schemas.openxmlformats.org/package/2006/relationships"><Relationship Id="rId1" Type="http://schemas.openxmlformats.org/officeDocument/2006/relationships/image" Target="../media/image2.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9D7C1A-BF54-47EF-837D-9C4452F366B2}" type="doc">
      <dgm:prSet loTypeId="urn:microsoft.com/office/officeart/2005/8/layout/process2" loCatId="process" qsTypeId="urn:microsoft.com/office/officeart/2005/8/quickstyle/simple1" qsCatId="simple" csTypeId="urn:microsoft.com/office/officeart/2005/8/colors/accent1_2" csCatId="accent1" phldr="1"/>
      <dgm:spPr/>
      <dgm:t>
        <a:bodyPr/>
        <a:lstStyle/>
        <a:p>
          <a:endParaRPr lang="lt-LT"/>
        </a:p>
      </dgm:t>
    </dgm:pt>
    <dgm:pt modelId="{14C5A336-62B4-4E1B-B49E-685D574107C9}">
      <dgm:prSet phldrT="[Tekstas]" custT="1"/>
      <dgm:spPr>
        <a:solidFill>
          <a:schemeClr val="accent6">
            <a:lumMod val="60000"/>
            <a:lumOff val="40000"/>
          </a:schemeClr>
        </a:solidFill>
        <a:ln>
          <a:solidFill>
            <a:schemeClr val="accent6">
              <a:lumMod val="75000"/>
            </a:schemeClr>
          </a:solidFill>
        </a:ln>
      </dgm:spPr>
      <dgm:t>
        <a:bodyPr/>
        <a:lstStyle/>
        <a:p>
          <a:pPr algn="just"/>
          <a:r>
            <a:rPr lang="lt-LT" sz="1400" b="1">
              <a:solidFill>
                <a:sysClr val="windowText" lastClr="000000"/>
              </a:solidFill>
              <a:latin typeface="Times New Roman" pitchFamily="18" charset="0"/>
              <a:cs typeface="Times New Roman" pitchFamily="18" charset="0"/>
            </a:rPr>
            <a:t>Pirma pamoka: </a:t>
          </a:r>
        </a:p>
        <a:p>
          <a:pPr algn="just"/>
          <a:r>
            <a:rPr lang="lt-LT" sz="1400">
              <a:solidFill>
                <a:sysClr val="windowText" lastClr="000000"/>
              </a:solidFill>
              <a:latin typeface="Times New Roman" pitchFamily="18" charset="0"/>
              <a:cs typeface="Times New Roman" pitchFamily="18" charset="0"/>
            </a:rPr>
            <a:t>Pristačiusi pamokos temą, su mokiniais aptarusi uždavinius, išdalijusi lenteles su tekstu ir užduotimis (žr. Priedas Nr. 3), mokytoja pati garsiai skaito rašinį. </a:t>
          </a:r>
        </a:p>
        <a:p>
          <a:pPr algn="just"/>
          <a:r>
            <a:rPr lang="lt-LT" sz="1400">
              <a:solidFill>
                <a:sysClr val="windowText" lastClr="000000"/>
              </a:solidFill>
              <a:latin typeface="Times New Roman" pitchFamily="18" charset="0"/>
              <a:cs typeface="Times New Roman" pitchFamily="18" charset="0"/>
            </a:rPr>
            <a:t>Paprašoma trumpai aptarti įspūdį, jį pagrįsti. </a:t>
          </a:r>
        </a:p>
        <a:p>
          <a:pPr algn="just"/>
          <a:r>
            <a:rPr lang="lt-LT" sz="1400">
              <a:solidFill>
                <a:sysClr val="windowText" lastClr="000000"/>
              </a:solidFill>
              <a:latin typeface="Times New Roman" pitchFamily="18" charset="0"/>
              <a:cs typeface="Times New Roman" pitchFamily="18" charset="0"/>
            </a:rPr>
            <a:t>Tada mokiniai paskirstomi poromis (kad poroje būtų vienas stipresnis, o kitas silpnesnis mokinys) ir paskiriamos užduotys.</a:t>
          </a:r>
        </a:p>
        <a:p>
          <a:pPr algn="just"/>
          <a:r>
            <a:rPr lang="lt-LT" sz="1400">
              <a:solidFill>
                <a:sysClr val="windowText" lastClr="000000"/>
              </a:solidFill>
              <a:latin typeface="Times New Roman" pitchFamily="18" charset="0"/>
              <a:cs typeface="Times New Roman" pitchFamily="18" charset="0"/>
            </a:rPr>
            <a:t> Kai poros atlieka savo užduotį, savo pozicijas suderina su kita pora, analizavusia tą pačią teksto dalį, ir pasirengia pristatyti klasės draugams.</a:t>
          </a:r>
        </a:p>
      </dgm:t>
    </dgm:pt>
    <dgm:pt modelId="{B283543B-7699-44B1-A921-546751D4C57C}" type="parTrans" cxnId="{B8632950-92E6-456D-BE1F-7D1FCFB69B81}">
      <dgm:prSet/>
      <dgm:spPr/>
      <dgm:t>
        <a:bodyPr/>
        <a:lstStyle/>
        <a:p>
          <a:endParaRPr lang="lt-LT">
            <a:solidFill>
              <a:sysClr val="windowText" lastClr="000000"/>
            </a:solidFill>
          </a:endParaRPr>
        </a:p>
      </dgm:t>
    </dgm:pt>
    <dgm:pt modelId="{D4FCA3AF-5070-4EE1-800B-910EC0235820}" type="sibTrans" cxnId="{B8632950-92E6-456D-BE1F-7D1FCFB69B81}">
      <dgm:prSet/>
      <dgm:spPr>
        <a:solidFill>
          <a:srgbClr val="FF9933"/>
        </a:solidFill>
        <a:ln>
          <a:solidFill>
            <a:schemeClr val="accent6">
              <a:lumMod val="75000"/>
            </a:schemeClr>
          </a:solidFill>
        </a:ln>
      </dgm:spPr>
      <dgm:t>
        <a:bodyPr/>
        <a:lstStyle/>
        <a:p>
          <a:endParaRPr lang="lt-LT">
            <a:solidFill>
              <a:sysClr val="windowText" lastClr="000000"/>
            </a:solidFill>
          </a:endParaRPr>
        </a:p>
      </dgm:t>
    </dgm:pt>
    <dgm:pt modelId="{67532670-85A6-40AD-9069-12F4C83C1C7A}">
      <dgm:prSet phldrT="[Tekstas]" custT="1"/>
      <dgm:spPr>
        <a:solidFill>
          <a:schemeClr val="accent6">
            <a:lumMod val="60000"/>
            <a:lumOff val="40000"/>
          </a:schemeClr>
        </a:solidFill>
        <a:ln>
          <a:solidFill>
            <a:schemeClr val="accent6">
              <a:lumMod val="75000"/>
            </a:schemeClr>
          </a:solidFill>
        </a:ln>
      </dgm:spPr>
      <dgm:t>
        <a:bodyPr/>
        <a:lstStyle/>
        <a:p>
          <a:pPr algn="just"/>
          <a:r>
            <a:rPr lang="lt-LT" sz="1400" b="1">
              <a:solidFill>
                <a:sysClr val="windowText" lastClr="000000"/>
              </a:solidFill>
              <a:latin typeface="Times New Roman" pitchFamily="18" charset="0"/>
              <a:cs typeface="Times New Roman" pitchFamily="18" charset="0"/>
            </a:rPr>
            <a:t>Antra pamoka:</a:t>
          </a:r>
        </a:p>
        <a:p>
          <a:pPr algn="just"/>
          <a:r>
            <a:rPr lang="lt-LT" sz="1400">
              <a:solidFill>
                <a:sysClr val="windowText" lastClr="000000"/>
              </a:solidFill>
              <a:latin typeface="Times New Roman" pitchFamily="18" charset="0"/>
              <a:cs typeface="Times New Roman" pitchFamily="18" charset="0"/>
            </a:rPr>
            <a:t>Nuosekliai aptariamas visas tekstas; kiekviena grupė analizuoja nurodytą teksto dalį (kalbėti turi kiekvienas grupės narys). Mokytojai padedant pildoma lentelė.</a:t>
          </a:r>
        </a:p>
        <a:p>
          <a:pPr algn="just"/>
          <a:r>
            <a:rPr lang="lt-LT" sz="1400" b="1">
              <a:solidFill>
                <a:sysClr val="windowText" lastClr="000000"/>
              </a:solidFill>
              <a:latin typeface="Times New Roman" pitchFamily="18" charset="0"/>
              <a:cs typeface="Times New Roman" pitchFamily="18" charset="0"/>
            </a:rPr>
            <a:t>Apibendrinimas, vertinimas. </a:t>
          </a:r>
          <a:r>
            <a:rPr lang="lt-LT" sz="1400">
              <a:solidFill>
                <a:sysClr val="windowText" lastClr="000000"/>
              </a:solidFill>
              <a:latin typeface="Times New Roman" pitchFamily="18" charset="0"/>
              <a:cs typeface="Times New Roman" pitchFamily="18" charset="0"/>
            </a:rPr>
            <a:t>Aiškinamasi, ką suprato nagrinėdami rašinio pavyzdį. Už darbą taškai rašomi kaupiamajam vertinimui.</a:t>
          </a:r>
        </a:p>
        <a:p>
          <a:pPr algn="just"/>
          <a:r>
            <a:rPr lang="lt-LT" sz="1400" b="1">
              <a:solidFill>
                <a:sysClr val="windowText" lastClr="000000"/>
              </a:solidFill>
              <a:latin typeface="Times New Roman" pitchFamily="18" charset="0"/>
              <a:cs typeface="Times New Roman" pitchFamily="18" charset="0"/>
            </a:rPr>
            <a:t>Namų darbas. </a:t>
          </a:r>
          <a:r>
            <a:rPr lang="lt-LT" sz="1400">
              <a:solidFill>
                <a:sysClr val="windowText" lastClr="000000"/>
              </a:solidFill>
              <a:latin typeface="Times New Roman" pitchFamily="18" charset="0"/>
              <a:cs typeface="Times New Roman" pitchFamily="18" charset="0"/>
            </a:rPr>
            <a:t>Remiantis aptartu rašiniu, pasižymėtomis pastabomis, pilnaisiais sakiniais įsivardyti savo rašinio trūkumus. (Redaguoti rašinio neprasminga, nes jie rašyti pagal tą patį planą, tad mokiniai veikiausiai tiesiog imtų kartotis. Gebėti pilnaisiais sakiniais įsivardyti konkrečius rašinio trūkumus mokiniams irgi yra iššūkis.)</a:t>
          </a:r>
        </a:p>
      </dgm:t>
    </dgm:pt>
    <dgm:pt modelId="{32C012DA-4C18-45A1-B70B-10B53CD50EAF}" type="parTrans" cxnId="{359760FE-A78C-4055-B93B-A7F54B0E3379}">
      <dgm:prSet/>
      <dgm:spPr/>
      <dgm:t>
        <a:bodyPr/>
        <a:lstStyle/>
        <a:p>
          <a:endParaRPr lang="lt-LT">
            <a:solidFill>
              <a:sysClr val="windowText" lastClr="000000"/>
            </a:solidFill>
          </a:endParaRPr>
        </a:p>
      </dgm:t>
    </dgm:pt>
    <dgm:pt modelId="{87F4394A-71BB-4BCF-A02D-3D4A412DD7FA}" type="sibTrans" cxnId="{359760FE-A78C-4055-B93B-A7F54B0E3379}">
      <dgm:prSet/>
      <dgm:spPr/>
      <dgm:t>
        <a:bodyPr/>
        <a:lstStyle/>
        <a:p>
          <a:endParaRPr lang="lt-LT">
            <a:solidFill>
              <a:sysClr val="windowText" lastClr="000000"/>
            </a:solidFill>
          </a:endParaRPr>
        </a:p>
      </dgm:t>
    </dgm:pt>
    <dgm:pt modelId="{0754D9F3-9783-4749-9100-2CA6198DE61D}" type="pres">
      <dgm:prSet presAssocID="{CC9D7C1A-BF54-47EF-837D-9C4452F366B2}" presName="linearFlow" presStyleCnt="0">
        <dgm:presLayoutVars>
          <dgm:resizeHandles val="exact"/>
        </dgm:presLayoutVars>
      </dgm:prSet>
      <dgm:spPr/>
      <dgm:t>
        <a:bodyPr/>
        <a:lstStyle/>
        <a:p>
          <a:endParaRPr lang="lt-LT"/>
        </a:p>
      </dgm:t>
    </dgm:pt>
    <dgm:pt modelId="{DEF1EE63-F2B2-4C4B-B4A5-F2552DF23E33}" type="pres">
      <dgm:prSet presAssocID="{14C5A336-62B4-4E1B-B49E-685D574107C9}" presName="node" presStyleLbl="node1" presStyleIdx="0" presStyleCnt="2" custLinFactNeighborX="631" custLinFactNeighborY="-61">
        <dgm:presLayoutVars>
          <dgm:bulletEnabled val="1"/>
        </dgm:presLayoutVars>
      </dgm:prSet>
      <dgm:spPr/>
      <dgm:t>
        <a:bodyPr/>
        <a:lstStyle/>
        <a:p>
          <a:endParaRPr lang="lt-LT"/>
        </a:p>
      </dgm:t>
    </dgm:pt>
    <dgm:pt modelId="{38110840-D3C9-4D3B-8948-718CEB710C50}" type="pres">
      <dgm:prSet presAssocID="{D4FCA3AF-5070-4EE1-800B-910EC0235820}" presName="sibTrans" presStyleLbl="sibTrans2D1" presStyleIdx="0" presStyleCnt="1"/>
      <dgm:spPr/>
      <dgm:t>
        <a:bodyPr/>
        <a:lstStyle/>
        <a:p>
          <a:endParaRPr lang="lt-LT"/>
        </a:p>
      </dgm:t>
    </dgm:pt>
    <dgm:pt modelId="{7EE3CB20-186B-4FF3-9CA7-76755253C2C1}" type="pres">
      <dgm:prSet presAssocID="{D4FCA3AF-5070-4EE1-800B-910EC0235820}" presName="connectorText" presStyleLbl="sibTrans2D1" presStyleIdx="0" presStyleCnt="1"/>
      <dgm:spPr/>
      <dgm:t>
        <a:bodyPr/>
        <a:lstStyle/>
        <a:p>
          <a:endParaRPr lang="lt-LT"/>
        </a:p>
      </dgm:t>
    </dgm:pt>
    <dgm:pt modelId="{4635984D-E975-4D05-941B-65664777D46F}" type="pres">
      <dgm:prSet presAssocID="{67532670-85A6-40AD-9069-12F4C83C1C7A}" presName="node" presStyleLbl="node1" presStyleIdx="1" presStyleCnt="2">
        <dgm:presLayoutVars>
          <dgm:bulletEnabled val="1"/>
        </dgm:presLayoutVars>
      </dgm:prSet>
      <dgm:spPr/>
      <dgm:t>
        <a:bodyPr/>
        <a:lstStyle/>
        <a:p>
          <a:endParaRPr lang="lt-LT"/>
        </a:p>
      </dgm:t>
    </dgm:pt>
  </dgm:ptLst>
  <dgm:cxnLst>
    <dgm:cxn modelId="{9AFDCCAA-96D2-4DAF-A34C-E6D33A707369}" type="presOf" srcId="{D4FCA3AF-5070-4EE1-800B-910EC0235820}" destId="{7EE3CB20-186B-4FF3-9CA7-76755253C2C1}" srcOrd="1" destOrd="0" presId="urn:microsoft.com/office/officeart/2005/8/layout/process2"/>
    <dgm:cxn modelId="{8B9D8128-33CE-47D2-9B7A-9076AC2211DE}" type="presOf" srcId="{D4FCA3AF-5070-4EE1-800B-910EC0235820}" destId="{38110840-D3C9-4D3B-8948-718CEB710C50}" srcOrd="0" destOrd="0" presId="urn:microsoft.com/office/officeart/2005/8/layout/process2"/>
    <dgm:cxn modelId="{230CD315-8975-4570-B16C-C55ECE575AB9}" type="presOf" srcId="{14C5A336-62B4-4E1B-B49E-685D574107C9}" destId="{DEF1EE63-F2B2-4C4B-B4A5-F2552DF23E33}" srcOrd="0" destOrd="0" presId="urn:microsoft.com/office/officeart/2005/8/layout/process2"/>
    <dgm:cxn modelId="{B8632950-92E6-456D-BE1F-7D1FCFB69B81}" srcId="{CC9D7C1A-BF54-47EF-837D-9C4452F366B2}" destId="{14C5A336-62B4-4E1B-B49E-685D574107C9}" srcOrd="0" destOrd="0" parTransId="{B283543B-7699-44B1-A921-546751D4C57C}" sibTransId="{D4FCA3AF-5070-4EE1-800B-910EC0235820}"/>
    <dgm:cxn modelId="{59B959D7-8C18-46FF-AD7F-DC16A85791DC}" type="presOf" srcId="{CC9D7C1A-BF54-47EF-837D-9C4452F366B2}" destId="{0754D9F3-9783-4749-9100-2CA6198DE61D}" srcOrd="0" destOrd="0" presId="urn:microsoft.com/office/officeart/2005/8/layout/process2"/>
    <dgm:cxn modelId="{359760FE-A78C-4055-B93B-A7F54B0E3379}" srcId="{CC9D7C1A-BF54-47EF-837D-9C4452F366B2}" destId="{67532670-85A6-40AD-9069-12F4C83C1C7A}" srcOrd="1" destOrd="0" parTransId="{32C012DA-4C18-45A1-B70B-10B53CD50EAF}" sibTransId="{87F4394A-71BB-4BCF-A02D-3D4A412DD7FA}"/>
    <dgm:cxn modelId="{E03CE12D-37C2-4433-88F8-445BA1432DB5}" type="presOf" srcId="{67532670-85A6-40AD-9069-12F4C83C1C7A}" destId="{4635984D-E975-4D05-941B-65664777D46F}" srcOrd="0" destOrd="0" presId="urn:microsoft.com/office/officeart/2005/8/layout/process2"/>
    <dgm:cxn modelId="{86A79AE5-C6D9-4EF1-AEF5-114BF618B8A2}" type="presParOf" srcId="{0754D9F3-9783-4749-9100-2CA6198DE61D}" destId="{DEF1EE63-F2B2-4C4B-B4A5-F2552DF23E33}" srcOrd="0" destOrd="0" presId="urn:microsoft.com/office/officeart/2005/8/layout/process2"/>
    <dgm:cxn modelId="{EEDCCD61-98E8-4E50-AFCC-59C419E3AEC2}" type="presParOf" srcId="{0754D9F3-9783-4749-9100-2CA6198DE61D}" destId="{38110840-D3C9-4D3B-8948-718CEB710C50}" srcOrd="1" destOrd="0" presId="urn:microsoft.com/office/officeart/2005/8/layout/process2"/>
    <dgm:cxn modelId="{CC3DF013-50A8-4F2B-B393-6B53362B3E2F}" type="presParOf" srcId="{38110840-D3C9-4D3B-8948-718CEB710C50}" destId="{7EE3CB20-186B-4FF3-9CA7-76755253C2C1}" srcOrd="0" destOrd="0" presId="urn:microsoft.com/office/officeart/2005/8/layout/process2"/>
    <dgm:cxn modelId="{70348993-BCCF-4F46-BF66-3111BAF0D646}" type="presParOf" srcId="{0754D9F3-9783-4749-9100-2CA6198DE61D}" destId="{4635984D-E975-4D05-941B-65664777D46F}" srcOrd="2" destOrd="0" presId="urn:microsoft.com/office/officeart/2005/8/layout/process2"/>
  </dgm:cxnLst>
  <dgm:bg>
    <a:blipFill dpi="0" rotWithShape="1">
      <a:blip xmlns:r="http://schemas.openxmlformats.org/officeDocument/2006/relationships" r:embed="rId1">
        <a:extLst>
          <a:ext uri="{28A0092B-C50C-407E-A947-70E740481C1C}">
            <a14:useLocalDpi xmlns:a14="http://schemas.microsoft.com/office/drawing/2010/main" val="0"/>
          </a:ext>
        </a:extLst>
      </a:blip>
      <a:srcRect/>
      <a:stretch>
        <a:fillRect/>
      </a:stretch>
    </a:blipFill>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F1EE63-F2B2-4C4B-B4A5-F2552DF23E33}">
      <dsp:nvSpPr>
        <dsp:cNvPr id="0" name=""/>
        <dsp:cNvSpPr/>
      </dsp:nvSpPr>
      <dsp:spPr>
        <a:xfrm>
          <a:off x="420931" y="0"/>
          <a:ext cx="5314028" cy="2843627"/>
        </a:xfrm>
        <a:prstGeom prst="roundRect">
          <a:avLst>
            <a:gd name="adj" fmla="val 10000"/>
          </a:avLst>
        </a:prstGeom>
        <a:solidFill>
          <a:schemeClr val="accent6">
            <a:lumMod val="60000"/>
            <a:lumOff val="40000"/>
          </a:schemeClr>
        </a:solidFill>
        <a:ln w="25400" cap="flat" cmpd="sng" algn="ctr">
          <a:solidFill>
            <a:schemeClr val="accent6">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lt-LT" sz="1400" b="1" kern="1200">
              <a:solidFill>
                <a:sysClr val="windowText" lastClr="000000"/>
              </a:solidFill>
              <a:latin typeface="Times New Roman" pitchFamily="18" charset="0"/>
              <a:cs typeface="Times New Roman" pitchFamily="18" charset="0"/>
            </a:rPr>
            <a:t>Pirma pamoka: </a:t>
          </a:r>
        </a:p>
        <a:p>
          <a:pPr lvl="0" algn="just" defTabSz="622300">
            <a:lnSpc>
              <a:spcPct val="90000"/>
            </a:lnSpc>
            <a:spcBef>
              <a:spcPct val="0"/>
            </a:spcBef>
            <a:spcAft>
              <a:spcPct val="35000"/>
            </a:spcAft>
          </a:pPr>
          <a:r>
            <a:rPr lang="lt-LT" sz="1400" kern="1200">
              <a:solidFill>
                <a:sysClr val="windowText" lastClr="000000"/>
              </a:solidFill>
              <a:latin typeface="Times New Roman" pitchFamily="18" charset="0"/>
              <a:cs typeface="Times New Roman" pitchFamily="18" charset="0"/>
            </a:rPr>
            <a:t>Pristačiusi pamokos temą, su mokiniais aptarusi uždavinius, išdalijusi lenteles su tekstu ir užduotimis (žr. Priedas Nr. 3), mokytoja pati garsiai skaito rašinį. </a:t>
          </a:r>
        </a:p>
        <a:p>
          <a:pPr lvl="0" algn="just" defTabSz="622300">
            <a:lnSpc>
              <a:spcPct val="90000"/>
            </a:lnSpc>
            <a:spcBef>
              <a:spcPct val="0"/>
            </a:spcBef>
            <a:spcAft>
              <a:spcPct val="35000"/>
            </a:spcAft>
          </a:pPr>
          <a:r>
            <a:rPr lang="lt-LT" sz="1400" kern="1200">
              <a:solidFill>
                <a:sysClr val="windowText" lastClr="000000"/>
              </a:solidFill>
              <a:latin typeface="Times New Roman" pitchFamily="18" charset="0"/>
              <a:cs typeface="Times New Roman" pitchFamily="18" charset="0"/>
            </a:rPr>
            <a:t>Paprašoma trumpai aptarti įspūdį, jį pagrįsti. </a:t>
          </a:r>
        </a:p>
        <a:p>
          <a:pPr lvl="0" algn="just" defTabSz="622300">
            <a:lnSpc>
              <a:spcPct val="90000"/>
            </a:lnSpc>
            <a:spcBef>
              <a:spcPct val="0"/>
            </a:spcBef>
            <a:spcAft>
              <a:spcPct val="35000"/>
            </a:spcAft>
          </a:pPr>
          <a:r>
            <a:rPr lang="lt-LT" sz="1400" kern="1200">
              <a:solidFill>
                <a:sysClr val="windowText" lastClr="000000"/>
              </a:solidFill>
              <a:latin typeface="Times New Roman" pitchFamily="18" charset="0"/>
              <a:cs typeface="Times New Roman" pitchFamily="18" charset="0"/>
            </a:rPr>
            <a:t>Tada mokiniai paskirstomi poromis (kad poroje būtų vienas stipresnis, o kitas silpnesnis mokinys) ir paskiriamos užduotys.</a:t>
          </a:r>
        </a:p>
        <a:p>
          <a:pPr lvl="0" algn="just" defTabSz="622300">
            <a:lnSpc>
              <a:spcPct val="90000"/>
            </a:lnSpc>
            <a:spcBef>
              <a:spcPct val="0"/>
            </a:spcBef>
            <a:spcAft>
              <a:spcPct val="35000"/>
            </a:spcAft>
          </a:pPr>
          <a:r>
            <a:rPr lang="lt-LT" sz="1400" kern="1200">
              <a:solidFill>
                <a:sysClr val="windowText" lastClr="000000"/>
              </a:solidFill>
              <a:latin typeface="Times New Roman" pitchFamily="18" charset="0"/>
              <a:cs typeface="Times New Roman" pitchFamily="18" charset="0"/>
            </a:rPr>
            <a:t> Kai poros atlieka savo užduotį, savo pozicijas suderina su kita pora, analizavusia tą pačią teksto dalį, ir pasirengia pristatyti klasės draugams.</a:t>
          </a:r>
        </a:p>
      </dsp:txBody>
      <dsp:txXfrm>
        <a:off x="504218" y="83287"/>
        <a:ext cx="5147454" cy="2677053"/>
      </dsp:txXfrm>
    </dsp:sp>
    <dsp:sp modelId="{38110840-D3C9-4D3B-8948-718CEB710C50}">
      <dsp:nvSpPr>
        <dsp:cNvPr id="0" name=""/>
        <dsp:cNvSpPr/>
      </dsp:nvSpPr>
      <dsp:spPr>
        <a:xfrm rot="5427019">
          <a:off x="2527657" y="2915152"/>
          <a:ext cx="1067043" cy="1279632"/>
        </a:xfrm>
        <a:prstGeom prst="rightArrow">
          <a:avLst>
            <a:gd name="adj1" fmla="val 60000"/>
            <a:gd name="adj2" fmla="val 50000"/>
          </a:avLst>
        </a:prstGeom>
        <a:solidFill>
          <a:srgbClr val="FF9933"/>
        </a:solidFill>
        <a:ln>
          <a:solidFill>
            <a:schemeClr val="accent6">
              <a:lumMod val="75000"/>
            </a:schemeClr>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355850">
            <a:lnSpc>
              <a:spcPct val="90000"/>
            </a:lnSpc>
            <a:spcBef>
              <a:spcPct val="0"/>
            </a:spcBef>
            <a:spcAft>
              <a:spcPct val="35000"/>
            </a:spcAft>
          </a:pPr>
          <a:endParaRPr lang="lt-LT" sz="5300" kern="1200">
            <a:solidFill>
              <a:sysClr val="windowText" lastClr="000000"/>
            </a:solidFill>
          </a:endParaRPr>
        </a:p>
      </dsp:txBody>
      <dsp:txXfrm rot="-5400000">
        <a:off x="2678546" y="3021451"/>
        <a:ext cx="767780" cy="746930"/>
      </dsp:txXfrm>
    </dsp:sp>
    <dsp:sp modelId="{4635984D-E975-4D05-941B-65664777D46F}">
      <dsp:nvSpPr>
        <dsp:cNvPr id="0" name=""/>
        <dsp:cNvSpPr/>
      </dsp:nvSpPr>
      <dsp:spPr>
        <a:xfrm>
          <a:off x="387399" y="4266308"/>
          <a:ext cx="5314028" cy="2843627"/>
        </a:xfrm>
        <a:prstGeom prst="roundRect">
          <a:avLst>
            <a:gd name="adj" fmla="val 10000"/>
          </a:avLst>
        </a:prstGeom>
        <a:solidFill>
          <a:schemeClr val="accent6">
            <a:lumMod val="60000"/>
            <a:lumOff val="40000"/>
          </a:schemeClr>
        </a:solidFill>
        <a:ln w="25400" cap="flat" cmpd="sng" algn="ctr">
          <a:solidFill>
            <a:schemeClr val="accent6">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just" defTabSz="622300">
            <a:lnSpc>
              <a:spcPct val="90000"/>
            </a:lnSpc>
            <a:spcBef>
              <a:spcPct val="0"/>
            </a:spcBef>
            <a:spcAft>
              <a:spcPct val="35000"/>
            </a:spcAft>
          </a:pPr>
          <a:r>
            <a:rPr lang="lt-LT" sz="1400" b="1" kern="1200">
              <a:solidFill>
                <a:sysClr val="windowText" lastClr="000000"/>
              </a:solidFill>
              <a:latin typeface="Times New Roman" pitchFamily="18" charset="0"/>
              <a:cs typeface="Times New Roman" pitchFamily="18" charset="0"/>
            </a:rPr>
            <a:t>Antra pamoka:</a:t>
          </a:r>
        </a:p>
        <a:p>
          <a:pPr lvl="0" algn="just" defTabSz="622300">
            <a:lnSpc>
              <a:spcPct val="90000"/>
            </a:lnSpc>
            <a:spcBef>
              <a:spcPct val="0"/>
            </a:spcBef>
            <a:spcAft>
              <a:spcPct val="35000"/>
            </a:spcAft>
          </a:pPr>
          <a:r>
            <a:rPr lang="lt-LT" sz="1400" kern="1200">
              <a:solidFill>
                <a:sysClr val="windowText" lastClr="000000"/>
              </a:solidFill>
              <a:latin typeface="Times New Roman" pitchFamily="18" charset="0"/>
              <a:cs typeface="Times New Roman" pitchFamily="18" charset="0"/>
            </a:rPr>
            <a:t>Nuosekliai aptariamas visas tekstas; kiekviena grupė analizuoja nurodytą teksto dalį (kalbėti turi kiekvienas grupės narys). Mokytojai padedant pildoma lentelė.</a:t>
          </a:r>
        </a:p>
        <a:p>
          <a:pPr lvl="0" algn="just" defTabSz="622300">
            <a:lnSpc>
              <a:spcPct val="90000"/>
            </a:lnSpc>
            <a:spcBef>
              <a:spcPct val="0"/>
            </a:spcBef>
            <a:spcAft>
              <a:spcPct val="35000"/>
            </a:spcAft>
          </a:pPr>
          <a:r>
            <a:rPr lang="lt-LT" sz="1400" b="1" kern="1200">
              <a:solidFill>
                <a:sysClr val="windowText" lastClr="000000"/>
              </a:solidFill>
              <a:latin typeface="Times New Roman" pitchFamily="18" charset="0"/>
              <a:cs typeface="Times New Roman" pitchFamily="18" charset="0"/>
            </a:rPr>
            <a:t>Apibendrinimas, vertinimas. </a:t>
          </a:r>
          <a:r>
            <a:rPr lang="lt-LT" sz="1400" kern="1200">
              <a:solidFill>
                <a:sysClr val="windowText" lastClr="000000"/>
              </a:solidFill>
              <a:latin typeface="Times New Roman" pitchFamily="18" charset="0"/>
              <a:cs typeface="Times New Roman" pitchFamily="18" charset="0"/>
            </a:rPr>
            <a:t>Aiškinamasi, ką suprato nagrinėdami rašinio pavyzdį. Už darbą taškai rašomi kaupiamajam vertinimui.</a:t>
          </a:r>
        </a:p>
        <a:p>
          <a:pPr lvl="0" algn="just" defTabSz="622300">
            <a:lnSpc>
              <a:spcPct val="90000"/>
            </a:lnSpc>
            <a:spcBef>
              <a:spcPct val="0"/>
            </a:spcBef>
            <a:spcAft>
              <a:spcPct val="35000"/>
            </a:spcAft>
          </a:pPr>
          <a:r>
            <a:rPr lang="lt-LT" sz="1400" b="1" kern="1200">
              <a:solidFill>
                <a:sysClr val="windowText" lastClr="000000"/>
              </a:solidFill>
              <a:latin typeface="Times New Roman" pitchFamily="18" charset="0"/>
              <a:cs typeface="Times New Roman" pitchFamily="18" charset="0"/>
            </a:rPr>
            <a:t>Namų darbas. </a:t>
          </a:r>
          <a:r>
            <a:rPr lang="lt-LT" sz="1400" kern="1200">
              <a:solidFill>
                <a:sysClr val="windowText" lastClr="000000"/>
              </a:solidFill>
              <a:latin typeface="Times New Roman" pitchFamily="18" charset="0"/>
              <a:cs typeface="Times New Roman" pitchFamily="18" charset="0"/>
            </a:rPr>
            <a:t>Remiantis aptartu rašiniu, pasižymėtomis pastabomis, pilnaisiais sakiniais įsivardyti savo rašinio trūkumus. (Redaguoti rašinio neprasminga, nes jie rašyti pagal tą patį planą, tad mokiniai veikiausiai tiesiog imtų kartotis. Gebėti pilnaisiais sakiniais įsivardyti konkrečius rašinio trūkumus mokiniams irgi yra iššūkis.)</a:t>
          </a:r>
        </a:p>
      </dsp:txBody>
      <dsp:txXfrm>
        <a:off x="470686" y="4349595"/>
        <a:ext cx="5147454" cy="2677053"/>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517868-BA0D-4CF4-85AB-FB4CC8066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3</Pages>
  <Words>2128</Words>
  <Characters>1213</Characters>
  <Application>Microsoft Office Word</Application>
  <DocSecurity>0</DocSecurity>
  <Lines>10</Lines>
  <Paragraphs>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215</cp:revision>
  <dcterms:created xsi:type="dcterms:W3CDTF">2011-12-07T08:09:00Z</dcterms:created>
  <dcterms:modified xsi:type="dcterms:W3CDTF">2015-12-16T10:38:00Z</dcterms:modified>
</cp:coreProperties>
</file>